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0" w:rsidRPr="00B35CCD" w:rsidRDefault="00412D57" w:rsidP="000C05E6">
      <w:pPr>
        <w:jc w:val="both"/>
        <w:rPr>
          <w:rFonts w:asciiTheme="minorHAnsi" w:hAnsiTheme="minorHAnsi" w:cs="Arial"/>
          <w:b/>
          <w:bCs/>
          <w:color w:val="C00000"/>
          <w:sz w:val="16"/>
          <w:szCs w:val="16"/>
        </w:rPr>
      </w:pPr>
      <w:r w:rsidRPr="00412D57">
        <w:rPr>
          <w:rFonts w:asciiTheme="minorHAnsi" w:hAnsiTheme="minorHAnsi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5pt;margin-top:-43.75pt;width:480.4pt;height:21.95pt;z-index:251661312" strokecolor="#b10f32" strokeweight=".5pt">
            <v:textbox>
              <w:txbxContent>
                <w:p w:rsidR="00477236" w:rsidRPr="000C05E6" w:rsidRDefault="00477236" w:rsidP="00477236">
                  <w:pPr>
                    <w:jc w:val="center"/>
                    <w:rPr>
                      <w:color w:val="B10F32"/>
                    </w:rPr>
                  </w:pP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Notre vocation : Conseil en stratégie sociale, management </w:t>
                  </w:r>
                  <w:r w:rsidR="001B2B0F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du </w:t>
                  </w: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>changement et communication</w:t>
                  </w:r>
                </w:p>
              </w:txbxContent>
            </v:textbox>
          </v:shape>
        </w:pict>
      </w:r>
      <w:r w:rsidR="00136950"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="00136950"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</w:pP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</w:t>
      </w:r>
      <w:r w:rsidR="00B23D79">
        <w:rPr>
          <w:rFonts w:asciiTheme="minorHAnsi" w:hAnsiTheme="minorHAnsi" w:cs="Arial"/>
          <w:color w:val="44546A" w:themeColor="text2"/>
          <w:sz w:val="20"/>
          <w:szCs w:val="20"/>
        </w:rPr>
        <w:t>d’accompagnement du changement,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0C05E6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b/>
          <w:color w:val="323E4F" w:themeColor="text2" w:themeShade="BF"/>
          <w:sz w:val="16"/>
          <w:szCs w:val="16"/>
        </w:rPr>
      </w:pP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Concrètement, nous aidons les </w:t>
      </w:r>
      <w:r w:rsidR="008D035F"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>entreprises</w:t>
      </w: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Arial"/>
          <w:b/>
          <w:color w:val="44546A" w:themeColor="text2"/>
          <w:sz w:val="20"/>
          <w:szCs w:val="20"/>
          <w:u w:val="single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D87147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D87147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D87147" w:rsidRPr="000C05E6" w:rsidRDefault="00D87147" w:rsidP="00D87147">
      <w:pPr>
        <w:rPr>
          <w:rFonts w:asciiTheme="minorHAns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hAnsiTheme="minorHAnsi" w:cs="Arial"/>
          <w:b/>
          <w:color w:val="B10F32"/>
        </w:rPr>
        <w:t>Notre méthodologie :</w:t>
      </w:r>
    </w:p>
    <w:p w:rsidR="00D87147" w:rsidRPr="00832810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contraintes  environnementales et économiques,</w:t>
      </w:r>
    </w:p>
    <w:p w:rsidR="00BA35B1" w:rsidRPr="00477236" w:rsidRDefault="00477236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lastRenderedPageBreak/>
        <w:t xml:space="preserve"> Valoriser la culture de l'entreprise en ayant un état d'esprit différent,</w:t>
      </w:r>
    </w:p>
    <w:p w:rsidR="00562381" w:rsidRPr="000C05E6" w:rsidRDefault="00C30364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B35CCD" w:rsidRDefault="00D93B03" w:rsidP="005241A0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0F2BD1" w:rsidRPr="00B35CCD" w:rsidRDefault="000F2BD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0C05E6" w:rsidRDefault="008C64C1" w:rsidP="008A7E7C">
      <w:pPr>
        <w:rPr>
          <w:rFonts w:asciiTheme="minorHAnsi" w:eastAsia="Calibr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eastAsia="Calibri" w:hAnsiTheme="minorHAnsi" w:cs="Arial"/>
          <w:b/>
          <w:color w:val="B10F32"/>
        </w:rPr>
        <w:t>N</w:t>
      </w:r>
      <w:r w:rsidR="00607413" w:rsidRPr="000C05E6">
        <w:rPr>
          <w:rFonts w:asciiTheme="minorHAnsi" w:eastAsia="Calibri" w:hAnsiTheme="minorHAnsi" w:cs="Arial"/>
          <w:b/>
          <w:color w:val="B10F32"/>
        </w:rPr>
        <w:t>ous utilisons ou concevons des outils qui répondent à nos modes d’intervention</w:t>
      </w:r>
      <w:r w:rsidRPr="000C05E6">
        <w:rPr>
          <w:rFonts w:asciiTheme="minorHAnsi" w:eastAsia="Calibri" w:hAnsiTheme="minorHAnsi" w:cs="Arial"/>
          <w:b/>
          <w:color w:val="B10F32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Groupes d’expression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favoriser la prise de parole, créer des moments d’expression pour rompre l’isolement, les rumeurs, les incompréhensions</w:t>
      </w:r>
    </w:p>
    <w:p w:rsidR="000E3DAD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OST/Forum O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uvert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 xml:space="preserve">, </w:t>
      </w:r>
      <w:r w:rsidR="00B94468" w:rsidRPr="00D87147">
        <w:rPr>
          <w:rFonts w:asciiTheme="minorHAnsi" w:hAnsiTheme="minorHAnsi"/>
          <w:color w:val="44546A" w:themeColor="text2"/>
          <w:sz w:val="20"/>
          <w:szCs w:val="20"/>
        </w:rPr>
        <w:t>Coaching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.</w:t>
      </w:r>
    </w:p>
    <w:p w:rsidR="005241A0" w:rsidRPr="000C05E6" w:rsidRDefault="005241A0" w:rsidP="005241A0">
      <w:pPr>
        <w:jc w:val="both"/>
        <w:rPr>
          <w:rFonts w:asciiTheme="minorHAnsi" w:hAnsiTheme="minorHAnsi"/>
          <w:b/>
          <w:color w:val="B10F32"/>
          <w:sz w:val="16"/>
          <w:szCs w:val="16"/>
        </w:rPr>
      </w:pPr>
      <w:r w:rsidRPr="000C05E6">
        <w:rPr>
          <w:rFonts w:asciiTheme="minorHAnsi" w:hAnsiTheme="minorHAnsi"/>
          <w:b/>
          <w:color w:val="B10F32"/>
        </w:rPr>
        <w:lastRenderedPageBreak/>
        <w:t>Nos conférences</w:t>
      </w:r>
      <w:r w:rsidR="00050103" w:rsidRPr="000C05E6">
        <w:rPr>
          <w:rFonts w:asciiTheme="minorHAnsi" w:hAnsiTheme="minorHAnsi"/>
          <w:b/>
          <w:color w:val="B10F32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1E140A" w:rsidRDefault="005241A0" w:rsidP="001E140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 xml:space="preserve">er leurs ressentis et poser les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1E140A" w:rsidRDefault="001E140A" w:rsidP="004B585A">
      <w:pPr>
        <w:jc w:val="both"/>
        <w:rPr>
          <w:rFonts w:asciiTheme="minorHAnsi" w:hAnsiTheme="minorHAnsi"/>
          <w:b/>
          <w:color w:val="44546A" w:themeColor="text2"/>
        </w:rPr>
      </w:pPr>
      <w:r w:rsidRPr="001E140A">
        <w:rPr>
          <w:rFonts w:asciiTheme="minorHAnsi" w:hAnsiTheme="minorHAnsi"/>
          <w:b/>
          <w:color w:val="44546A" w:themeColor="text2"/>
        </w:rPr>
        <w:t>Les t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hèmes </w:t>
      </w:r>
      <w:r w:rsidRPr="001E140A">
        <w:rPr>
          <w:rFonts w:asciiTheme="minorHAnsi" w:hAnsiTheme="minorHAnsi"/>
          <w:b/>
          <w:color w:val="44546A" w:themeColor="text2"/>
        </w:rPr>
        <w:t>proposés</w:t>
      </w:r>
      <w:r w:rsidR="00B35CCD">
        <w:rPr>
          <w:rFonts w:asciiTheme="minorHAnsi" w:hAnsiTheme="minorHAnsi"/>
          <w:b/>
          <w:color w:val="44546A" w:themeColor="text2"/>
        </w:rPr>
        <w:t xml:space="preserve"> 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102B48" w:rsidRDefault="008A7E7C" w:rsidP="00B35CCD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102B48" w:rsidSect="00B35CCD">
          <w:headerReference w:type="default" r:id="rId7"/>
          <w:footerReference w:type="default" r:id="rId8"/>
          <w:type w:val="continuous"/>
          <w:pgSz w:w="11906" w:h="16838"/>
          <w:pgMar w:top="2760" w:right="866" w:bottom="1417" w:left="1417" w:header="708" w:footer="423" w:gutter="0"/>
          <w:cols w:num="2" w:space="708"/>
          <w:docGrid w:linePitch="360"/>
        </w:sect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Et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burn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>ion non violente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1E140A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emettre du sens dans sa vie…).</w:t>
      </w:r>
    </w:p>
    <w:p w:rsidR="000C05E6" w:rsidRDefault="000C05E6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0C05E6" w:rsidSect="000C05E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B35CCD">
        <w:rPr>
          <w:rFonts w:asciiTheme="minorHAnsi" w:hAnsiTheme="minorHAnsi"/>
          <w:b/>
          <w:color w:val="B10F32"/>
        </w:rPr>
        <w:lastRenderedPageBreak/>
        <w:t>Les intervenant</w:t>
      </w:r>
      <w:r w:rsidR="009C0AFE" w:rsidRPr="00B35CCD">
        <w:rPr>
          <w:rFonts w:asciiTheme="minorHAnsi" w:hAnsiTheme="minorHAnsi"/>
          <w:b/>
          <w:color w:val="B10F32"/>
        </w:rPr>
        <w:t>e</w:t>
      </w:r>
      <w:r w:rsidRPr="00B35CCD">
        <w:rPr>
          <w:rFonts w:asciiTheme="minorHAnsi" w:hAnsiTheme="minorHAnsi"/>
          <w:b/>
          <w:color w:val="B10F32"/>
        </w:rPr>
        <w:t>s</w:t>
      </w:r>
      <w:r w:rsidR="00AB479B" w:rsidRPr="00B35CCD">
        <w:rPr>
          <w:rFonts w:asciiTheme="minorHAnsi" w:hAnsiTheme="minorHAnsi"/>
          <w:b/>
          <w:color w:val="B10F3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9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  <w:r w:rsidR="00BB1533">
        <w:t xml:space="preserve"> </w:t>
      </w:r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1E140A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Psychologue du travail</w:t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102B48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412D57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9C0AFE" w:rsidRDefault="009C0AFE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1E140A" w:rsidRPr="00050103" w:rsidRDefault="001E140A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0F2BD1" w:rsidRDefault="00C62D1F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0F2BD1" w:rsidRPr="00583F21" w:rsidRDefault="000F2BD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Stratégie de développement des PME, </w:t>
      </w:r>
      <w:r w:rsidR="00B35CCD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optimisation des 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>ressources</w:t>
      </w:r>
      <w:r w:rsidR="001E140A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humaines dans un contexte de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cession-acquisition et levée de fonds,</w:t>
      </w:r>
    </w:p>
    <w:p w:rsidR="009C0AFE" w:rsidRPr="00600BDA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8931DC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Praticienne en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euro</w:t>
      </w:r>
      <w:r w:rsidR="008C2BB9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ognitive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A23746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Forum Ouvert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(OST : Open Space Technology)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Communication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</w:t>
      </w:r>
      <w:r w:rsidR="001E140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aborative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F01DAA" w:rsidRPr="00F01DAA" w:rsidRDefault="00583F2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(Emotional Freedom Technique)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Stress et Gestion des émotions,</w:t>
      </w:r>
    </w:p>
    <w:p w:rsidR="002B1FED" w:rsidRPr="009C2934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selon Hal et Sidra Ston</w:t>
      </w:r>
      <w:r w:rsidR="003A5CA4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</w:t>
      </w:r>
    </w:p>
    <w:p w:rsidR="00832810" w:rsidRDefault="00832810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 xml:space="preserve">Vous voulez en savoir plus et prendre contact : </w:t>
      </w:r>
    </w:p>
    <w:p w:rsid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 xml:space="preserve">06 60 47 71 64 ou </w:t>
      </w:r>
      <w:hyperlink r:id="rId13" w:history="1">
        <w:r w:rsidR="00D04D4F" w:rsidRPr="003B425A">
          <w:rPr>
            <w:rStyle w:val="Lienhypertexte"/>
            <w:rFonts w:asciiTheme="minorHAnsi" w:hAnsiTheme="minorHAnsi"/>
            <w:b/>
          </w:rPr>
          <w:t>contact@sophrokhepri.fr</w:t>
        </w:r>
      </w:hyperlink>
    </w:p>
    <w:p w:rsidR="00D04D4F" w:rsidRDefault="00D04D4F" w:rsidP="00BB1533">
      <w:pPr>
        <w:jc w:val="center"/>
        <w:rPr>
          <w:rFonts w:asciiTheme="minorHAnsi" w:hAnsiTheme="minorHAnsi"/>
          <w:b/>
          <w:color w:val="44546A" w:themeColor="text2"/>
        </w:rPr>
      </w:pPr>
    </w:p>
    <w:p w:rsidR="00D04D4F" w:rsidRDefault="00D04D4F" w:rsidP="00BB1533">
      <w:pPr>
        <w:jc w:val="center"/>
        <w:rPr>
          <w:rFonts w:asciiTheme="minorHAnsi" w:hAnsiTheme="minorHAnsi"/>
          <w:b/>
          <w:color w:val="44546A" w:themeColor="text2"/>
        </w:rPr>
      </w:pPr>
    </w:p>
    <w:p w:rsidR="00D04D4F" w:rsidRDefault="00D04D4F" w:rsidP="00BB1533">
      <w:pPr>
        <w:jc w:val="center"/>
        <w:rPr>
          <w:rFonts w:asciiTheme="minorHAnsi" w:hAnsiTheme="minorHAnsi"/>
          <w:b/>
          <w:color w:val="44546A" w:themeColor="text2"/>
        </w:rPr>
      </w:pPr>
    </w:p>
    <w:p w:rsidR="00D04D4F" w:rsidRDefault="00D04D4F" w:rsidP="00BB1533">
      <w:pPr>
        <w:jc w:val="center"/>
        <w:rPr>
          <w:rFonts w:asciiTheme="minorHAnsi" w:hAnsiTheme="minorHAnsi"/>
          <w:b/>
          <w:color w:val="44546A" w:themeColor="text2"/>
        </w:rPr>
      </w:pPr>
    </w:p>
    <w:p w:rsidR="00D04D4F" w:rsidRPr="00D04D4F" w:rsidRDefault="00D04D4F" w:rsidP="00D04D4F">
      <w:pPr>
        <w:jc w:val="right"/>
        <w:rPr>
          <w:rFonts w:asciiTheme="minorHAnsi" w:hAnsiTheme="minorHAnsi"/>
          <w:b/>
          <w:color w:val="44546A" w:themeColor="text2"/>
          <w:sz w:val="12"/>
          <w:szCs w:val="12"/>
        </w:rPr>
      </w:pPr>
      <w:r>
        <w:rPr>
          <w:rFonts w:asciiTheme="minorHAnsi" w:hAnsiTheme="minorHAnsi"/>
          <w:b/>
          <w:color w:val="44546A" w:themeColor="text2"/>
          <w:sz w:val="12"/>
          <w:szCs w:val="12"/>
        </w:rPr>
        <w:t>Bry sur Marne le 23</w:t>
      </w:r>
      <w:r w:rsidRPr="00D04D4F">
        <w:rPr>
          <w:rFonts w:asciiTheme="minorHAnsi" w:hAnsiTheme="minorHAnsi"/>
          <w:b/>
          <w:color w:val="44546A" w:themeColor="text2"/>
          <w:sz w:val="12"/>
          <w:szCs w:val="12"/>
        </w:rPr>
        <w:t>/04/2014</w:t>
      </w:r>
    </w:p>
    <w:sectPr w:rsidR="00D04D4F" w:rsidRPr="00D04D4F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FE" w:rsidRDefault="00C72CFE" w:rsidP="005405EA">
      <w:r>
        <w:separator/>
      </w:r>
    </w:p>
  </w:endnote>
  <w:endnote w:type="continuationSeparator" w:id="0">
    <w:p w:rsidR="00C72CFE" w:rsidRDefault="00C72CFE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FE" w:rsidRDefault="00C72CFE" w:rsidP="005405EA">
      <w:r>
        <w:separator/>
      </w:r>
    </w:p>
  </w:footnote>
  <w:footnote w:type="continuationSeparator" w:id="0">
    <w:p w:rsidR="00C72CFE" w:rsidRDefault="00C72CFE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C05E6"/>
    <w:rsid w:val="000E3DAD"/>
    <w:rsid w:val="000F2BD1"/>
    <w:rsid w:val="00101F6E"/>
    <w:rsid w:val="00102B48"/>
    <w:rsid w:val="001234BE"/>
    <w:rsid w:val="00136950"/>
    <w:rsid w:val="00172962"/>
    <w:rsid w:val="00177FB5"/>
    <w:rsid w:val="001A5844"/>
    <w:rsid w:val="001B2B0F"/>
    <w:rsid w:val="001C3AA3"/>
    <w:rsid w:val="001E140A"/>
    <w:rsid w:val="0022776E"/>
    <w:rsid w:val="00245AEE"/>
    <w:rsid w:val="00257348"/>
    <w:rsid w:val="00272A4A"/>
    <w:rsid w:val="002A52D0"/>
    <w:rsid w:val="002B1FED"/>
    <w:rsid w:val="0033157E"/>
    <w:rsid w:val="00361284"/>
    <w:rsid w:val="003932A3"/>
    <w:rsid w:val="003A5CA4"/>
    <w:rsid w:val="003F335A"/>
    <w:rsid w:val="004040C7"/>
    <w:rsid w:val="00412D57"/>
    <w:rsid w:val="0041603C"/>
    <w:rsid w:val="00424A78"/>
    <w:rsid w:val="00425250"/>
    <w:rsid w:val="00464D0C"/>
    <w:rsid w:val="00477236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47E65"/>
    <w:rsid w:val="00773593"/>
    <w:rsid w:val="00790041"/>
    <w:rsid w:val="007B6106"/>
    <w:rsid w:val="00832810"/>
    <w:rsid w:val="0083796F"/>
    <w:rsid w:val="008931DC"/>
    <w:rsid w:val="008A7E7C"/>
    <w:rsid w:val="008C2BB9"/>
    <w:rsid w:val="008C64C1"/>
    <w:rsid w:val="008D035F"/>
    <w:rsid w:val="00922B0C"/>
    <w:rsid w:val="00933188"/>
    <w:rsid w:val="009B6803"/>
    <w:rsid w:val="009C0AFE"/>
    <w:rsid w:val="009C2934"/>
    <w:rsid w:val="009E0C19"/>
    <w:rsid w:val="00A16E7C"/>
    <w:rsid w:val="00A23746"/>
    <w:rsid w:val="00A715B7"/>
    <w:rsid w:val="00A90C97"/>
    <w:rsid w:val="00AB479B"/>
    <w:rsid w:val="00B21149"/>
    <w:rsid w:val="00B23D79"/>
    <w:rsid w:val="00B35CCD"/>
    <w:rsid w:val="00B47762"/>
    <w:rsid w:val="00B94468"/>
    <w:rsid w:val="00BA35B1"/>
    <w:rsid w:val="00BB1533"/>
    <w:rsid w:val="00BB40EB"/>
    <w:rsid w:val="00BC7993"/>
    <w:rsid w:val="00BE24B9"/>
    <w:rsid w:val="00C17199"/>
    <w:rsid w:val="00C30364"/>
    <w:rsid w:val="00C62D1F"/>
    <w:rsid w:val="00C72CFE"/>
    <w:rsid w:val="00C7717C"/>
    <w:rsid w:val="00CE6AC8"/>
    <w:rsid w:val="00D04D4F"/>
    <w:rsid w:val="00D53C06"/>
    <w:rsid w:val="00D61BCA"/>
    <w:rsid w:val="00D62C7A"/>
    <w:rsid w:val="00D65BC7"/>
    <w:rsid w:val="00D77A74"/>
    <w:rsid w:val="00D77ED3"/>
    <w:rsid w:val="00D80206"/>
    <w:rsid w:val="00D8593E"/>
    <w:rsid w:val="00D87147"/>
    <w:rsid w:val="00D93B03"/>
    <w:rsid w:val="00DB3DDE"/>
    <w:rsid w:val="00DB47EE"/>
    <w:rsid w:val="00DC1008"/>
    <w:rsid w:val="00DF7F63"/>
    <w:rsid w:val="00E045BC"/>
    <w:rsid w:val="00E07D7B"/>
    <w:rsid w:val="00E114DC"/>
    <w:rsid w:val="00EB11EB"/>
    <w:rsid w:val="00EE2A4C"/>
    <w:rsid w:val="00EF17A3"/>
    <w:rsid w:val="00F01DAA"/>
    <w:rsid w:val="00F70A77"/>
    <w:rsid w:val="00F71706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tact@sophrokhepri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axel</cp:lastModifiedBy>
  <cp:revision>19</cp:revision>
  <cp:lastPrinted>2014-04-23T10:18:00Z</cp:lastPrinted>
  <dcterms:created xsi:type="dcterms:W3CDTF">2014-03-23T17:06:00Z</dcterms:created>
  <dcterms:modified xsi:type="dcterms:W3CDTF">2014-04-23T12:22:00Z</dcterms:modified>
</cp:coreProperties>
</file>