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B2" w:rsidRPr="00224CB2" w:rsidRDefault="00224CB2" w:rsidP="00224CB2">
      <w:pPr>
        <w:spacing w:after="0" w:line="240" w:lineRule="auto"/>
        <w:rPr>
          <w:rFonts w:eastAsia="Times New Roman" w:cstheme="minorHAnsi"/>
          <w:b/>
          <w:sz w:val="20"/>
          <w:szCs w:val="20"/>
          <w:lang w:eastAsia="fr-FR"/>
        </w:rPr>
      </w:pPr>
      <w:proofErr w:type="spellStart"/>
      <w:r w:rsidRPr="00224CB2">
        <w:rPr>
          <w:rFonts w:eastAsia="Times New Roman" w:cstheme="minorHAnsi"/>
          <w:b/>
          <w:sz w:val="20"/>
          <w:szCs w:val="20"/>
          <w:lang w:eastAsia="fr-FR"/>
        </w:rPr>
        <w:t>Immorente</w:t>
      </w:r>
      <w:proofErr w:type="spellEnd"/>
      <w:r w:rsidRPr="00224CB2">
        <w:rPr>
          <w:rFonts w:eastAsia="Times New Roman" w:cstheme="minorHAnsi"/>
          <w:b/>
          <w:sz w:val="20"/>
          <w:szCs w:val="20"/>
          <w:lang w:eastAsia="fr-FR"/>
        </w:rPr>
        <w:t xml:space="preserve"> -- </w:t>
      </w:r>
      <w:proofErr w:type="spellStart"/>
      <w:r w:rsidRPr="00224CB2">
        <w:rPr>
          <w:rFonts w:eastAsia="Times New Roman" w:cstheme="minorHAnsi"/>
          <w:b/>
          <w:sz w:val="20"/>
          <w:szCs w:val="20"/>
          <w:lang w:eastAsia="fr-FR"/>
        </w:rPr>
        <w:t>Sofidy</w:t>
      </w:r>
      <w:proofErr w:type="spellEnd"/>
      <w:r w:rsidRPr="00224CB2">
        <w:rPr>
          <w:rFonts w:eastAsia="Times New Roman" w:cstheme="minorHAnsi"/>
          <w:b/>
          <w:sz w:val="20"/>
          <w:szCs w:val="20"/>
          <w:lang w:eastAsia="fr-FR"/>
        </w:rPr>
        <w:t xml:space="preserve"> </w:t>
      </w:r>
    </w:p>
    <w:p w:rsidR="00224CB2" w:rsidRPr="00224CB2" w:rsidRDefault="00224CB2" w:rsidP="00224CB2">
      <w:pPr>
        <w:spacing w:after="0" w:line="240" w:lineRule="auto"/>
        <w:rPr>
          <w:rFonts w:eastAsia="Times New Roman" w:cstheme="minorHAnsi"/>
          <w:sz w:val="20"/>
          <w:szCs w:val="20"/>
          <w:lang w:eastAsia="fr-FR"/>
        </w:rPr>
      </w:pPr>
      <w:r w:rsidRPr="00224CB2">
        <w:rPr>
          <w:rFonts w:eastAsia="Times New Roman" w:cstheme="minorHAnsi"/>
          <w:sz w:val="20"/>
          <w:szCs w:val="20"/>
          <w:lang w:eastAsia="fr-FR"/>
        </w:rPr>
        <w:pict>
          <v:rect id="_x0000_i1025" style="width:0;height:1.5pt" o:hralign="center" o:hrstd="t" o:hr="t" fillcolor="#a0a0a0" stroked="f"/>
        </w:pict>
      </w:r>
    </w:p>
    <w:p w:rsidR="00224CB2" w:rsidRPr="00224CB2" w:rsidRDefault="00224CB2" w:rsidP="00224CB2">
      <w:pPr>
        <w:pBdr>
          <w:bottom w:val="single" w:sz="6" w:space="1" w:color="auto"/>
        </w:pBdr>
        <w:spacing w:after="0" w:line="240" w:lineRule="auto"/>
        <w:jc w:val="center"/>
        <w:rPr>
          <w:rFonts w:eastAsia="Times New Roman" w:cstheme="minorHAnsi"/>
          <w:vanish/>
          <w:sz w:val="20"/>
          <w:szCs w:val="20"/>
          <w:lang w:eastAsia="fr-FR"/>
        </w:rPr>
      </w:pPr>
      <w:r w:rsidRPr="00224CB2">
        <w:rPr>
          <w:rFonts w:eastAsia="Times New Roman" w:cstheme="minorHAnsi"/>
          <w:vanish/>
          <w:sz w:val="20"/>
          <w:szCs w:val="20"/>
          <w:lang w:eastAsia="fr-FR"/>
        </w:rPr>
        <w:t>Haut du formulaire</w:t>
      </w:r>
    </w:p>
    <w:p w:rsidR="00224CB2" w:rsidRPr="00224CB2" w:rsidRDefault="00224CB2" w:rsidP="00224CB2">
      <w:pPr>
        <w:spacing w:after="0" w:line="240" w:lineRule="auto"/>
        <w:rPr>
          <w:rFonts w:eastAsia="Times New Roman" w:cstheme="minorHAnsi"/>
          <w:sz w:val="20"/>
          <w:szCs w:val="20"/>
          <w:lang w:eastAsia="fr-FR"/>
        </w:rPr>
      </w:pPr>
      <w:r w:rsidRPr="00224CB2">
        <w:rPr>
          <w:rFonts w:eastAsia="Times New Roman" w:cstheme="minorHAnsi"/>
          <w:noProof/>
          <w:sz w:val="20"/>
          <w:szCs w:val="20"/>
          <w:lang w:eastAsia="fr-FR"/>
        </w:rPr>
        <w:drawing>
          <wp:inline distT="0" distB="0" distL="0" distR="0">
            <wp:extent cx="2095500" cy="628650"/>
            <wp:effectExtent l="19050" t="0" r="0" b="0"/>
            <wp:docPr id="2" name="Image 2" descr="http://www.arkanissim.fr/espaceconseiller/downloadfile/4532-immoren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4532-immorente-2.jpg"/>
                    <pic:cNvPicPr>
                      <a:picLocks noChangeAspect="1" noChangeArrowheads="1"/>
                    </pic:cNvPicPr>
                  </pic:nvPicPr>
                  <pic:blipFill>
                    <a:blip r:embed="rId4" cstate="print"/>
                    <a:srcRect/>
                    <a:stretch>
                      <a:fillRect/>
                    </a:stretch>
                  </pic:blipFill>
                  <pic:spPr bwMode="auto">
                    <a:xfrm>
                      <a:off x="0" y="0"/>
                      <a:ext cx="2095500" cy="628650"/>
                    </a:xfrm>
                    <a:prstGeom prst="rect">
                      <a:avLst/>
                    </a:prstGeom>
                    <a:noFill/>
                    <a:ln w="9525">
                      <a:noFill/>
                      <a:miter lim="800000"/>
                      <a:headEnd/>
                      <a:tailEnd/>
                    </a:ln>
                  </pic:spPr>
                </pic:pic>
              </a:graphicData>
            </a:graphic>
          </wp:inline>
        </w:drawing>
      </w:r>
      <w:r w:rsidRPr="00224CB2">
        <w:rPr>
          <w:rFonts w:eastAsia="Times New Roman" w:cstheme="minorHAnsi"/>
          <w:sz w:val="20"/>
          <w:szCs w:val="20"/>
          <w:lang w:eastAsia="fr-FR"/>
        </w:rPr>
        <w:br/>
      </w:r>
      <w:r w:rsidRPr="00224CB2">
        <w:rPr>
          <w:rFonts w:eastAsia="Times New Roman" w:cstheme="minorHAnsi"/>
          <w:noProof/>
          <w:sz w:val="20"/>
          <w:szCs w:val="20"/>
          <w:lang w:eastAsia="fr-FR"/>
        </w:rPr>
        <w:drawing>
          <wp:inline distT="0" distB="0" distL="0" distR="0">
            <wp:extent cx="2095500" cy="1400175"/>
            <wp:effectExtent l="19050" t="0" r="0" b="0"/>
            <wp:docPr id="3" name="Image 3" descr="http://www.arkanissim.fr/espaceconseiller/downloadfile/4533-patrimoine-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4533-patrimoine-12-08.jpg"/>
                    <pic:cNvPicPr>
                      <a:picLocks noChangeAspect="1" noChangeArrowheads="1"/>
                    </pic:cNvPicPr>
                  </pic:nvPicPr>
                  <pic:blipFill>
                    <a:blip r:embed="rId5"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r w:rsidRPr="00224CB2">
        <w:rPr>
          <w:rFonts w:eastAsia="Times New Roman" w:cstheme="minorHAnsi"/>
          <w:sz w:val="20"/>
          <w:szCs w:val="20"/>
          <w:lang w:eastAsia="fr-FR"/>
        </w:rPr>
        <w:br/>
      </w:r>
      <w:r w:rsidRPr="00224CB2">
        <w:rPr>
          <w:rFonts w:eastAsia="Times New Roman" w:cstheme="minorHAnsi"/>
          <w:noProof/>
          <w:sz w:val="20"/>
          <w:szCs w:val="20"/>
          <w:lang w:eastAsia="fr-FR"/>
        </w:rPr>
        <w:drawing>
          <wp:inline distT="0" distB="0" distL="0" distR="0">
            <wp:extent cx="2095500" cy="1895475"/>
            <wp:effectExtent l="19050" t="0" r="0" b="0"/>
            <wp:docPr id="4" name="Image 4" descr="http://www.arkanissim.fr/espaceconseiller/downloadfile/4534-repartition-geographique-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kanissim.fr/espaceconseiller/downloadfile/4534-repartition-geographique-12-08.jpg"/>
                    <pic:cNvPicPr>
                      <a:picLocks noChangeAspect="1" noChangeArrowheads="1"/>
                    </pic:cNvPicPr>
                  </pic:nvPicPr>
                  <pic:blipFill>
                    <a:blip r:embed="rId6" cstate="print"/>
                    <a:srcRect/>
                    <a:stretch>
                      <a:fillRect/>
                    </a:stretch>
                  </pic:blipFill>
                  <pic:spPr bwMode="auto">
                    <a:xfrm>
                      <a:off x="0" y="0"/>
                      <a:ext cx="2095500" cy="1895475"/>
                    </a:xfrm>
                    <a:prstGeom prst="rect">
                      <a:avLst/>
                    </a:prstGeom>
                    <a:noFill/>
                    <a:ln w="9525">
                      <a:noFill/>
                      <a:miter lim="800000"/>
                      <a:headEnd/>
                      <a:tailEnd/>
                    </a:ln>
                  </pic:spPr>
                </pic:pic>
              </a:graphicData>
            </a:graphic>
          </wp:inline>
        </w:drawing>
      </w:r>
    </w:p>
    <w:p w:rsidR="00224CB2" w:rsidRPr="00224CB2" w:rsidRDefault="00224CB2" w:rsidP="00224CB2">
      <w:pPr>
        <w:spacing w:after="0" w:line="240" w:lineRule="auto"/>
        <w:rPr>
          <w:rFonts w:eastAsia="Times New Roman" w:cstheme="minorHAnsi"/>
          <w:sz w:val="20"/>
          <w:szCs w:val="20"/>
          <w:lang w:eastAsia="fr-FR"/>
        </w:rPr>
      </w:pPr>
      <w:r w:rsidRPr="00224CB2">
        <w:rPr>
          <w:rFonts w:eastAsia="Times New Roman" w:cstheme="minorHAnsi"/>
          <w:sz w:val="20"/>
          <w:szCs w:val="20"/>
          <w:lang w:eastAsia="fr-FR"/>
        </w:rPr>
        <w:pict>
          <v:rect id="_x0000_i1029" style="width:0;height:1.5pt" o:hralign="center" o:hrstd="t" o:hr="t" fillcolor="#a0a0a0" stroked="f"/>
        </w:pict>
      </w:r>
    </w:p>
    <w:p w:rsidR="00224CB2" w:rsidRPr="00224CB2" w:rsidRDefault="00224CB2" w:rsidP="00224CB2">
      <w:pPr>
        <w:spacing w:after="0" w:line="240" w:lineRule="auto"/>
        <w:rPr>
          <w:rFonts w:eastAsia="Times New Roman" w:cstheme="minorHAnsi"/>
          <w:sz w:val="20"/>
          <w:szCs w:val="20"/>
          <w:lang w:eastAsia="fr-FR"/>
        </w:rPr>
      </w:pPr>
      <w:r w:rsidRPr="00224CB2">
        <w:rPr>
          <w:rFonts w:eastAsia="Times New Roman" w:cstheme="minorHAnsi"/>
          <w:sz w:val="20"/>
          <w:szCs w:val="20"/>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5.5pt;height:18pt" o:ole="">
            <v:imagedata r:id="rId7" o:title=""/>
          </v:shape>
          <w:control r:id="rId8" w:name="DefaultOcxName" w:shapeid="_x0000_i1039"/>
        </w:object>
      </w:r>
    </w:p>
    <w:p w:rsidR="00224CB2" w:rsidRPr="00224CB2" w:rsidRDefault="00224CB2" w:rsidP="00224CB2">
      <w:pPr>
        <w:pBdr>
          <w:top w:val="single" w:sz="6" w:space="1" w:color="auto"/>
        </w:pBdr>
        <w:spacing w:after="0" w:line="240" w:lineRule="auto"/>
        <w:jc w:val="center"/>
        <w:rPr>
          <w:rFonts w:eastAsia="Times New Roman" w:cstheme="minorHAnsi"/>
          <w:vanish/>
          <w:sz w:val="20"/>
          <w:szCs w:val="20"/>
          <w:lang w:eastAsia="fr-FR"/>
        </w:rPr>
      </w:pPr>
      <w:r w:rsidRPr="00224CB2">
        <w:rPr>
          <w:rFonts w:eastAsia="Times New Roman" w:cstheme="minorHAnsi"/>
          <w:vanish/>
          <w:sz w:val="20"/>
          <w:szCs w:val="20"/>
          <w:lang w:eastAsia="fr-FR"/>
        </w:rPr>
        <w:t>Bas du formulaire</w:t>
      </w:r>
    </w:p>
    <w:p w:rsidR="00C32BBC" w:rsidRPr="00224CB2" w:rsidRDefault="00224CB2" w:rsidP="00224CB2">
      <w:pPr>
        <w:spacing w:after="0" w:line="240" w:lineRule="auto"/>
        <w:rPr>
          <w:rFonts w:eastAsia="Times New Roman" w:cstheme="minorHAnsi"/>
          <w:sz w:val="20"/>
          <w:szCs w:val="20"/>
          <w:lang w:eastAsia="fr-FR"/>
        </w:rPr>
      </w:pPr>
      <w:r w:rsidRPr="00224CB2">
        <w:rPr>
          <w:rFonts w:eastAsia="Times New Roman" w:cstheme="minorHAnsi"/>
          <w:b/>
          <w:bCs/>
          <w:sz w:val="20"/>
          <w:szCs w:val="20"/>
          <w:lang w:eastAsia="fr-FR"/>
        </w:rPr>
        <w:t>Souscription limitée à 328 parts, soit 100 040 € par foyer fiscal</w:t>
      </w:r>
      <w:r w:rsidRPr="00224CB2">
        <w:rPr>
          <w:rFonts w:eastAsia="Times New Roman" w:cstheme="minorHAnsi"/>
          <w:sz w:val="20"/>
          <w:szCs w:val="20"/>
          <w:lang w:eastAsia="fr-FR"/>
        </w:rPr>
        <w:t xml:space="preserve">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Créée en 1988 par la société de gestion indépendante SOFIDY, </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est devenue en 20 ans la principale SCPI de murs de commerces française. Forte d'une capitalisation de 910 millions d'euros fin 2008, elle représente près de la moitié du compartiment des SCPI investies en murs commerciaux. La régularité de ses performances a permis à </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SCPI à capital variable, d'avoir toujours été liquide, y compris pendant la crise immobilière de 1991-1998. </w:t>
      </w:r>
      <w:r w:rsidRPr="00224CB2">
        <w:rPr>
          <w:rFonts w:eastAsia="Times New Roman" w:cstheme="minorHAnsi"/>
          <w:sz w:val="20"/>
          <w:szCs w:val="20"/>
          <w:lang w:eastAsia="fr-FR"/>
        </w:rPr>
        <w:br/>
      </w:r>
      <w:r w:rsidRPr="00224CB2">
        <w:rPr>
          <w:rFonts w:eastAsia="Times New Roman" w:cstheme="minorHAnsi"/>
          <w:sz w:val="20"/>
          <w:szCs w:val="20"/>
          <w:lang w:eastAsia="fr-FR"/>
        </w:rPr>
        <w:br/>
        <w:t>La politique d'acquisition d'</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a permis la constitution d'un patrimoine diversifié selon de nombreux critères : </w:t>
      </w:r>
      <w:r w:rsidRPr="00224CB2">
        <w:rPr>
          <w:rFonts w:eastAsia="Times New Roman" w:cstheme="minorHAnsi"/>
          <w:sz w:val="20"/>
          <w:szCs w:val="20"/>
          <w:lang w:eastAsia="fr-FR"/>
        </w:rPr>
        <w:br/>
        <w:t xml:space="preserve">- par locataires (le plus important représente moins de 5% du chiffre d'affaires) </w:t>
      </w:r>
      <w:r w:rsidRPr="00224CB2">
        <w:rPr>
          <w:rFonts w:eastAsia="Times New Roman" w:cstheme="minorHAnsi"/>
          <w:sz w:val="20"/>
          <w:szCs w:val="20"/>
          <w:lang w:eastAsia="fr-FR"/>
        </w:rPr>
        <w:br/>
        <w:t xml:space="preserve">- par situations géographiques (Paris, Ile de France, province, étranger) </w:t>
      </w:r>
      <w:r w:rsidRPr="00224CB2">
        <w:rPr>
          <w:rFonts w:eastAsia="Times New Roman" w:cstheme="minorHAnsi"/>
          <w:sz w:val="20"/>
          <w:szCs w:val="20"/>
          <w:lang w:eastAsia="fr-FR"/>
        </w:rPr>
        <w:br/>
        <w:t xml:space="preserve">- par types de biens (pieds d'immeubles, magasins de périphéries, magasins de cash&amp;carry, centres commerciaux de quartier) </w:t>
      </w:r>
      <w:r w:rsidRPr="00224CB2">
        <w:rPr>
          <w:rFonts w:eastAsia="Times New Roman" w:cstheme="minorHAnsi"/>
          <w:sz w:val="20"/>
          <w:szCs w:val="20"/>
          <w:lang w:eastAsia="fr-FR"/>
        </w:rPr>
        <w:br/>
        <w:t xml:space="preserve">- par activités des locataires (alimentaire, équipement de la personne, équipement de la maison, pharmacies…) </w:t>
      </w:r>
      <w:r w:rsidRPr="00224CB2">
        <w:rPr>
          <w:rFonts w:eastAsia="Times New Roman" w:cstheme="minorHAnsi"/>
          <w:sz w:val="20"/>
          <w:szCs w:val="20"/>
          <w:lang w:eastAsia="fr-FR"/>
        </w:rPr>
        <w:br/>
      </w:r>
      <w:r w:rsidRPr="00224CB2">
        <w:rPr>
          <w:rFonts w:eastAsia="Times New Roman" w:cstheme="minorHAnsi"/>
          <w:sz w:val="20"/>
          <w:szCs w:val="20"/>
          <w:lang w:eastAsia="fr-FR"/>
        </w:rPr>
        <w:lastRenderedPageBreak/>
        <w:br/>
        <w:t>Depuis vingt ans, la stratégie d'acquisition d'</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vise à racheter des murs de commerces toujours loués à des niveaux de loyers de préférence inférieurs à ceux du marché. </w:t>
      </w:r>
      <w:r w:rsidRPr="00224CB2">
        <w:rPr>
          <w:rFonts w:eastAsia="Times New Roman" w:cstheme="minorHAnsi"/>
          <w:sz w:val="20"/>
          <w:szCs w:val="20"/>
          <w:lang w:eastAsia="fr-FR"/>
        </w:rPr>
        <w:br/>
        <w:t xml:space="preserve">La taille modeste des achats effectués par </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la met en bonne position par rapport aux concurrents (fonds étrangers, grandes foncières…) qui se positionnent davantage sur des actifs beaucoup plus importants.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En s'inscrivant dans une optique de partenariat avec les enseignes dans des opérations d'externalisation, </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est en mesure, comme cela a été plusieurs fois le cas, d'acquérir des “portefeuilles” de plusieurs dizaines de murs de boutiques sur des emplacements de premier ordre.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Depuis vingt ans, </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a développé un réel savoir-faire pour procéder chaque année à des remises à niveau de loyers permettant une amélioration des rendements et des valeurs des actifs concernés. Grâce à sa politique d'achat de murs de commerces à loyers faibles, </w:t>
      </w:r>
      <w:proofErr w:type="spellStart"/>
      <w:r w:rsidRPr="00224CB2">
        <w:rPr>
          <w:rFonts w:eastAsia="Times New Roman" w:cstheme="minorHAnsi"/>
          <w:sz w:val="20"/>
          <w:szCs w:val="20"/>
          <w:lang w:eastAsia="fr-FR"/>
        </w:rPr>
        <w:t>Immorente</w:t>
      </w:r>
      <w:proofErr w:type="spellEnd"/>
      <w:r w:rsidRPr="00224CB2">
        <w:rPr>
          <w:rFonts w:eastAsia="Times New Roman" w:cstheme="minorHAnsi"/>
          <w:sz w:val="20"/>
          <w:szCs w:val="20"/>
          <w:lang w:eastAsia="fr-FR"/>
        </w:rPr>
        <w:t xml:space="preserve"> détient aujourd'hui un important réservoir de plus values latentes.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Nature </w:t>
      </w:r>
      <w:r w:rsidRPr="00224CB2">
        <w:rPr>
          <w:rFonts w:eastAsia="Times New Roman" w:cstheme="minorHAnsi"/>
          <w:sz w:val="20"/>
          <w:szCs w:val="20"/>
          <w:lang w:eastAsia="fr-FR"/>
        </w:rPr>
        <w:br/>
        <w:t xml:space="preserve">SCPI de rendement à capital variable.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Prix de souscription au 01/01/2010 : 305 €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Investissements déjà réalisés </w:t>
      </w:r>
      <w:r w:rsidRPr="00224CB2">
        <w:rPr>
          <w:rFonts w:eastAsia="Times New Roman" w:cstheme="minorHAnsi"/>
          <w:sz w:val="20"/>
          <w:szCs w:val="20"/>
          <w:lang w:eastAsia="fr-FR"/>
        </w:rPr>
        <w:br/>
        <w:t xml:space="preserve">Plus de la moitié des locaux est louée à des personnes publiques, à des institutionnels (Ministère de l'industrie, Département de l'Essonne, Services Fiscaux, Chambres de Métiers, ANPE, Assedic, Gan, GMF, </w:t>
      </w:r>
      <w:proofErr w:type="spellStart"/>
      <w:r w:rsidRPr="00224CB2">
        <w:rPr>
          <w:rFonts w:eastAsia="Times New Roman" w:cstheme="minorHAnsi"/>
          <w:sz w:val="20"/>
          <w:szCs w:val="20"/>
          <w:lang w:eastAsia="fr-FR"/>
        </w:rPr>
        <w:t>Caixa</w:t>
      </w:r>
      <w:proofErr w:type="spellEnd"/>
      <w:r w:rsidRPr="00224CB2">
        <w:rPr>
          <w:rFonts w:eastAsia="Times New Roman" w:cstheme="minorHAnsi"/>
          <w:sz w:val="20"/>
          <w:szCs w:val="20"/>
          <w:lang w:eastAsia="fr-FR"/>
        </w:rPr>
        <w:t xml:space="preserve">, la Poste, Chronopost) ou à des Sociétés de tout premier plan (Europa Discount ou Champion du Groupe Carrefour, Picard Surgelés, Groupe VIVARTE, Aldi, ERAM, Leader Price du groupe Casino, BNP-PARIBAS, </w:t>
      </w:r>
      <w:proofErr w:type="spellStart"/>
      <w:r w:rsidRPr="00224CB2">
        <w:rPr>
          <w:rFonts w:eastAsia="Times New Roman" w:cstheme="minorHAnsi"/>
          <w:sz w:val="20"/>
          <w:szCs w:val="20"/>
          <w:lang w:eastAsia="fr-FR"/>
        </w:rPr>
        <w:t>Lidl</w:t>
      </w:r>
      <w:proofErr w:type="spellEnd"/>
      <w:r w:rsidRPr="00224CB2">
        <w:rPr>
          <w:rFonts w:eastAsia="Times New Roman" w:cstheme="minorHAnsi"/>
          <w:sz w:val="20"/>
          <w:szCs w:val="20"/>
          <w:lang w:eastAsia="fr-FR"/>
        </w:rPr>
        <w:t xml:space="preserve"> etc...).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Rentabilité 2009 : 5,60%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Minimum de souscription : 4 parts </w:t>
      </w:r>
      <w:r w:rsidRPr="00224CB2">
        <w:rPr>
          <w:rFonts w:eastAsia="Times New Roman" w:cstheme="minorHAnsi"/>
          <w:sz w:val="20"/>
          <w:szCs w:val="20"/>
          <w:lang w:eastAsia="fr-FR"/>
        </w:rPr>
        <w:br/>
      </w:r>
      <w:r w:rsidRPr="00224CB2">
        <w:rPr>
          <w:rFonts w:eastAsia="Times New Roman" w:cstheme="minorHAnsi"/>
          <w:sz w:val="20"/>
          <w:szCs w:val="20"/>
          <w:lang w:eastAsia="fr-FR"/>
        </w:rPr>
        <w:br/>
        <w:t xml:space="preserve">Jouissance de parts : </w:t>
      </w:r>
      <w:r w:rsidRPr="00224CB2">
        <w:rPr>
          <w:rFonts w:eastAsia="Times New Roman" w:cstheme="minorHAnsi"/>
          <w:sz w:val="20"/>
          <w:szCs w:val="20"/>
          <w:lang w:eastAsia="fr-FR"/>
        </w:rPr>
        <w:br/>
        <w:t xml:space="preserve">Les parts souscrites au cours d'un mois donné portent jouissance le premier jour du troisième mois suivant la date d'encaissement de la souscription et d'inscription sur le registre des associés. </w:t>
      </w:r>
    </w:p>
    <w:sectPr w:rsidR="00C32BBC" w:rsidRPr="00224CB2" w:rsidSect="00224CB2">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4CB2"/>
    <w:rsid w:val="00224CB2"/>
    <w:rsid w:val="00C32BBC"/>
    <w:rsid w:val="00C95B6B"/>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224CB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24CB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24CB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24CB2"/>
    <w:rPr>
      <w:rFonts w:ascii="Arial" w:eastAsia="Times New Roman" w:hAnsi="Arial" w:cs="Arial"/>
      <w:vanish/>
      <w:sz w:val="16"/>
      <w:szCs w:val="16"/>
      <w:lang w:eastAsia="fr-FR"/>
    </w:rPr>
  </w:style>
  <w:style w:type="character" w:customStyle="1" w:styleId="textebleu">
    <w:name w:val="textebleu"/>
    <w:basedOn w:val="Policepardfaut"/>
    <w:rsid w:val="00224CB2"/>
  </w:style>
  <w:style w:type="character" w:customStyle="1" w:styleId="texteor">
    <w:name w:val="texteor"/>
    <w:basedOn w:val="Policepardfaut"/>
    <w:rsid w:val="00224CB2"/>
  </w:style>
  <w:style w:type="paragraph" w:styleId="Textedebulles">
    <w:name w:val="Balloon Text"/>
    <w:basedOn w:val="Normal"/>
    <w:link w:val="TextedebullesCar"/>
    <w:uiPriority w:val="99"/>
    <w:semiHidden/>
    <w:unhideWhenUsed/>
    <w:rsid w:val="00224C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594318">
      <w:bodyDiv w:val="1"/>
      <w:marLeft w:val="0"/>
      <w:marRight w:val="0"/>
      <w:marTop w:val="0"/>
      <w:marBottom w:val="0"/>
      <w:divBdr>
        <w:top w:val="none" w:sz="0" w:space="0" w:color="auto"/>
        <w:left w:val="none" w:sz="0" w:space="0" w:color="auto"/>
        <w:bottom w:val="none" w:sz="0" w:space="0" w:color="auto"/>
        <w:right w:val="none" w:sz="0" w:space="0" w:color="auto"/>
      </w:divBdr>
      <w:divsChild>
        <w:div w:id="1110659045">
          <w:marLeft w:val="0"/>
          <w:marRight w:val="0"/>
          <w:marTop w:val="0"/>
          <w:marBottom w:val="0"/>
          <w:divBdr>
            <w:top w:val="none" w:sz="0" w:space="0" w:color="auto"/>
            <w:left w:val="none" w:sz="0" w:space="0" w:color="auto"/>
            <w:bottom w:val="none" w:sz="0" w:space="0" w:color="auto"/>
            <w:right w:val="none" w:sz="0" w:space="0" w:color="auto"/>
          </w:divBdr>
          <w:divsChild>
            <w:div w:id="430513726">
              <w:marLeft w:val="0"/>
              <w:marRight w:val="0"/>
              <w:marTop w:val="0"/>
              <w:marBottom w:val="0"/>
              <w:divBdr>
                <w:top w:val="none" w:sz="0" w:space="0" w:color="auto"/>
                <w:left w:val="none" w:sz="0" w:space="0" w:color="auto"/>
                <w:bottom w:val="none" w:sz="0" w:space="0" w:color="auto"/>
                <w:right w:val="none" w:sz="0" w:space="0" w:color="auto"/>
              </w:divBdr>
              <w:divsChild>
                <w:div w:id="259602448">
                  <w:marLeft w:val="0"/>
                  <w:marRight w:val="0"/>
                  <w:marTop w:val="0"/>
                  <w:marBottom w:val="0"/>
                  <w:divBdr>
                    <w:top w:val="none" w:sz="0" w:space="0" w:color="auto"/>
                    <w:left w:val="none" w:sz="0" w:space="0" w:color="auto"/>
                    <w:bottom w:val="none" w:sz="0" w:space="0" w:color="auto"/>
                    <w:right w:val="none" w:sz="0" w:space="0" w:color="auto"/>
                  </w:divBdr>
                </w:div>
                <w:div w:id="1913195188">
                  <w:marLeft w:val="0"/>
                  <w:marRight w:val="0"/>
                  <w:marTop w:val="0"/>
                  <w:marBottom w:val="0"/>
                  <w:divBdr>
                    <w:top w:val="none" w:sz="0" w:space="0" w:color="auto"/>
                    <w:left w:val="none" w:sz="0" w:space="0" w:color="auto"/>
                    <w:bottom w:val="none" w:sz="0" w:space="0" w:color="auto"/>
                    <w:right w:val="none" w:sz="0" w:space="0" w:color="auto"/>
                  </w:divBdr>
                  <w:divsChild>
                    <w:div w:id="1249845817">
                      <w:marLeft w:val="0"/>
                      <w:marRight w:val="0"/>
                      <w:marTop w:val="0"/>
                      <w:marBottom w:val="0"/>
                      <w:divBdr>
                        <w:top w:val="none" w:sz="0" w:space="0" w:color="auto"/>
                        <w:left w:val="none" w:sz="0" w:space="0" w:color="auto"/>
                        <w:bottom w:val="none" w:sz="0" w:space="0" w:color="auto"/>
                        <w:right w:val="none" w:sz="0" w:space="0" w:color="auto"/>
                      </w:divBdr>
                    </w:div>
                  </w:divsChild>
                </w:div>
                <w:div w:id="857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2552</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2010-12-01T17:12:00Z</dcterms:created>
  <dcterms:modified xsi:type="dcterms:W3CDTF">2010-12-01T17:15:00Z</dcterms:modified>
</cp:coreProperties>
</file>