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5E710B" w:rsidRDefault="00C32BBC">
      <w:pPr>
        <w:rPr>
          <w:rFonts w:cstheme="minorHAnsi"/>
          <w:color w:val="1F497D" w:themeColor="text2"/>
        </w:rPr>
      </w:pPr>
    </w:p>
    <w:p w:rsidR="005E710B" w:rsidRPr="005E710B" w:rsidRDefault="005E710B" w:rsidP="005E710B">
      <w:pPr>
        <w:tabs>
          <w:tab w:val="left" w:pos="6442"/>
        </w:tabs>
        <w:spacing w:line="240" w:lineRule="auto"/>
        <w:jc w:val="right"/>
        <w:rPr>
          <w:rFonts w:cstheme="minorHAnsi"/>
          <w:b/>
          <w:i/>
          <w:iCs/>
          <w:color w:val="1F497D" w:themeColor="text2"/>
          <w:sz w:val="28"/>
          <w:szCs w:val="28"/>
        </w:rPr>
      </w:pPr>
      <w:r>
        <w:rPr>
          <w:rFonts w:cstheme="minorHAnsi"/>
          <w:b/>
          <w:i/>
          <w:iCs/>
          <w:color w:val="1F497D" w:themeColor="text2"/>
          <w:sz w:val="28"/>
          <w:szCs w:val="28"/>
        </w:rPr>
        <w:t>Stratégie de Croissance E</w:t>
      </w:r>
      <w:r w:rsidRPr="005E710B">
        <w:rPr>
          <w:rFonts w:cstheme="minorHAnsi"/>
          <w:b/>
          <w:i/>
          <w:iCs/>
          <w:color w:val="1F497D" w:themeColor="text2"/>
          <w:sz w:val="28"/>
          <w:szCs w:val="28"/>
        </w:rPr>
        <w:t xml:space="preserve">xterne, </w:t>
      </w:r>
      <w:r w:rsidRPr="005E710B">
        <w:rPr>
          <w:rFonts w:cstheme="minorHAnsi"/>
          <w:b/>
          <w:i/>
          <w:iCs/>
          <w:color w:val="1F497D" w:themeColor="text2"/>
          <w:sz w:val="28"/>
          <w:szCs w:val="28"/>
        </w:rPr>
        <w:br/>
        <w:t>Fusions  - Acquisitions,</w:t>
      </w:r>
      <w:r w:rsidRPr="005E710B">
        <w:rPr>
          <w:rFonts w:cstheme="minorHAnsi"/>
          <w:b/>
          <w:i/>
          <w:iCs/>
          <w:color w:val="1F497D" w:themeColor="text2"/>
          <w:sz w:val="28"/>
          <w:szCs w:val="28"/>
        </w:rPr>
        <w:br/>
        <w:t>Participations Financières</w:t>
      </w:r>
    </w:p>
    <w:p w:rsid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 xml:space="preserve">PRINCIPES DE COLLABORATION DE AVEC </w:t>
      </w:r>
      <w:r>
        <w:rPr>
          <w:rFonts w:cstheme="minorHAnsi"/>
          <w:b/>
          <w:bCs/>
          <w:color w:val="1F497D" w:themeColor="text2"/>
        </w:rPr>
        <w:t xml:space="preserve">NOS </w:t>
      </w:r>
      <w:r w:rsidRPr="005E710B">
        <w:rPr>
          <w:rFonts w:cstheme="minorHAnsi"/>
          <w:b/>
          <w:bCs/>
          <w:color w:val="1F497D" w:themeColor="text2"/>
        </w:rPr>
        <w:t>PARTENAIRES-CLIENTS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1 – NOTRE CLIENTELE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 xml:space="preserve">Nous sommes une </w:t>
      </w:r>
      <w:r w:rsidRPr="005E710B">
        <w:rPr>
          <w:rFonts w:cstheme="minorHAnsi"/>
          <w:color w:val="1F497D" w:themeColor="text2"/>
        </w:rPr>
        <w:t>Société de Conseil en Stratégie et Finances.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>No</w:t>
      </w:r>
      <w:r w:rsidRPr="005E710B">
        <w:rPr>
          <w:rFonts w:cstheme="minorHAnsi"/>
          <w:color w:val="1F497D" w:themeColor="text2"/>
        </w:rPr>
        <w:t>s clients sont les Entreprises et les Chefs d’Entreprises eux-mêmes.</w:t>
      </w:r>
    </w:p>
    <w:p w:rsid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 xml:space="preserve">Entreprises : </w:t>
      </w:r>
      <w:r w:rsidRPr="005E710B">
        <w:rPr>
          <w:rFonts w:cstheme="minorHAnsi"/>
          <w:color w:val="1F497D" w:themeColor="text2"/>
        </w:rPr>
        <w:t>PME. Notre plus gros client fait un chiffre d’affaires de 20M d’Euros.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 xml:space="preserve">Chefs d’entreprises : </w:t>
      </w:r>
      <w:r w:rsidRPr="005E710B">
        <w:rPr>
          <w:rFonts w:cstheme="minorHAnsi"/>
          <w:color w:val="1F497D" w:themeColor="text2"/>
        </w:rPr>
        <w:t>nos interlocuteurs naturels dans les entreprises sont les dirigeants. Ils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deviennent nos clients en tant que personnes physiques en raison des services d’ingénierie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patrimoniale que nous sommes à même d’apporter et qui sont le complément naturel de ceux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que nous apportons à leur entreprise elle-même.</w:t>
      </w: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2 – NOS DOMAINES D’INTERVENTION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Notre savoir-faire s’organise autour de 3 pôles et de 2 techniques :</w:t>
      </w: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Trois Pôles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levées de fonds (Entreprise),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cessions, acquisitions, croissance externe et interne (Entreprise),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ingénierie financière et patrimoniale de l’Entreprise et de la Personne, couvrant 2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domaines : l’organisation de la propriété (directe-indirecte, démembrement, endettement,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holdings), l’organisation des placements (trésorerie, gestion de portefeuilles).</w:t>
      </w: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Deux techniques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Nous animons nos interventions dans ces 3 pôles selon 2 ensembles de techniques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celles liées à la Stratégie de l’Entreprise et la Finance,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celles liées au « coaching » et à l’accompagnement des Dirigeants et Chefs d’Entreprise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 xml:space="preserve">dans les domaines </w:t>
      </w:r>
      <w:proofErr w:type="spellStart"/>
      <w:r w:rsidRPr="005E710B">
        <w:rPr>
          <w:rFonts w:cstheme="minorHAnsi"/>
          <w:color w:val="1F497D" w:themeColor="text2"/>
        </w:rPr>
        <w:t>pré-cités</w:t>
      </w:r>
      <w:proofErr w:type="spellEnd"/>
      <w:r w:rsidRPr="005E710B">
        <w:rPr>
          <w:rFonts w:cstheme="minorHAnsi"/>
          <w:color w:val="1F497D" w:themeColor="text2"/>
        </w:rPr>
        <w:t>..</w:t>
      </w: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3 – NOS MODES D’INTERVENTION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Dans tous les cas (levées de fonds, cessions/acquisitions/croissance, ingénierie financière et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patrimoniale)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nous commençons par un examen ou une construction en commun du Business Plan et du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Marketing Plan de l’entreprise (les 2 réunis étant le plan Stratégique de l’entreprise).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ce Business Plan est ensuite utilisé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o soit comme base de présentation aux investisseurs, ou aux acquéreurs, ou aux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Banquiers, ou au personnel… bref à toutes les parties prenantes de l’entreprise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qu’il faut « mobiliser » pour aller de l’avant.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o soit comme « feuille de route » pour les actions ultérieures, les orientations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stratégiques et les investissements.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o soit encore comme base au Bilan Personnel Patrimonial Dynamique (BPPD)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devant servir à la stratégie propre du chef d’entreprise.</w:t>
      </w: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F497D" w:themeColor="text2"/>
        </w:rPr>
      </w:pP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4 – RELATIONS AVEC NOS CLIENTS/PARTENAIRES ET REMUNERATION :</w:t>
      </w: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a, Types d’objectifs assignés à nos missions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L’expérience montre que nos interventions visent 2 types d’objectifs chez nos clients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 xml:space="preserve">- objectifs </w:t>
      </w:r>
      <w:r w:rsidRPr="005E710B">
        <w:rPr>
          <w:rFonts w:cstheme="minorHAnsi"/>
          <w:b/>
          <w:bCs/>
          <w:color w:val="1F497D" w:themeColor="text2"/>
        </w:rPr>
        <w:t xml:space="preserve">directs </w:t>
      </w:r>
      <w:r w:rsidRPr="005E710B">
        <w:rPr>
          <w:rFonts w:cstheme="minorHAnsi"/>
          <w:color w:val="1F497D" w:themeColor="text2"/>
        </w:rPr>
        <w:t xml:space="preserve">dans lesquels nous </w:t>
      </w:r>
      <w:r w:rsidRPr="005E710B">
        <w:rPr>
          <w:rFonts w:cstheme="minorHAnsi"/>
          <w:b/>
          <w:bCs/>
          <w:color w:val="1F497D" w:themeColor="text2"/>
        </w:rPr>
        <w:t>agissons directement</w:t>
      </w:r>
      <w:r w:rsidRPr="005E710B">
        <w:rPr>
          <w:rFonts w:cstheme="minorHAnsi"/>
          <w:color w:val="1F497D" w:themeColor="text2"/>
        </w:rPr>
        <w:t>: exemple : une levée de fonds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(nous présentons l’entreprise aux côtés de son Dirigeant aux fonds d’investissement), une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cession (nous démarchons les acquéreurs potentiels), une acquisition (nous détectons une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cible avec les Dirigeants et nous jetons les bases de la négociation), un accord de licence, une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restructuration financière…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 xml:space="preserve">- objectifs </w:t>
      </w:r>
      <w:r w:rsidRPr="005E710B">
        <w:rPr>
          <w:rFonts w:cstheme="minorHAnsi"/>
          <w:b/>
          <w:bCs/>
          <w:color w:val="1F497D" w:themeColor="text2"/>
        </w:rPr>
        <w:t xml:space="preserve">indirects </w:t>
      </w:r>
      <w:r w:rsidRPr="005E710B">
        <w:rPr>
          <w:rFonts w:cstheme="minorHAnsi"/>
          <w:color w:val="1F497D" w:themeColor="text2"/>
        </w:rPr>
        <w:t>: nous sommes dans ce cas des accompagnateurs et interlocuteurs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« permanents » de notre client, sachant que l’acteur, l’ « agissant » n’est pas nous, mais le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client. Exemple : préparation d’un Business Plan, réflexion stratégique sur plan de croissance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et de financement, mise en place d’un programme de croissance externe, préparation d’une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levée de fonds, préparation d’une cession au niveau de l’entreprise et à celui de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l’actionnaire…</w:t>
      </w: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b, Lettre de mission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Nous travaillons toujours sous lettre de mission décrivant précisément notre mission.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Cette mission est définie avec nos clients au cours de plusieurs réunions préalables nous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 xml:space="preserve">permettant de comprendre les besoins et attentes de nos clients, et permettant souvent à </w:t>
      </w:r>
      <w:proofErr w:type="spellStart"/>
      <w:r w:rsidRPr="005E710B">
        <w:rPr>
          <w:rFonts w:cstheme="minorHAnsi"/>
          <w:color w:val="1F497D" w:themeColor="text2"/>
        </w:rPr>
        <w:t>ceuxci</w:t>
      </w:r>
      <w:proofErr w:type="spellEnd"/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de préciser leur propre réflexion. C’est au cours de ces réunions préalables que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nous comprenons le métier de notre client,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nous comprenons ses besoins et attentes,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nous mesurons notre capacité à répondre efficacement à ces besoins,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- nous établissons le document « lettre de mission » qui définit en détail les objectifs, les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agendas, le mode de rémunération et les intervenants.</w:t>
      </w:r>
    </w:p>
    <w:p w:rsidR="007B2630" w:rsidRDefault="007B2630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>c, Rémunération :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Selon le type de mission et le contenu de chaque mission, nous modulons notre rémunération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entre « fixe » et « variable ».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 xml:space="preserve">Action en direct : </w:t>
      </w:r>
      <w:r w:rsidRPr="005E710B">
        <w:rPr>
          <w:rFonts w:cstheme="minorHAnsi"/>
          <w:color w:val="1F497D" w:themeColor="text2"/>
        </w:rPr>
        <w:t xml:space="preserve">« </w:t>
      </w:r>
      <w:proofErr w:type="spellStart"/>
      <w:r w:rsidRPr="005E710B">
        <w:rPr>
          <w:rFonts w:cstheme="minorHAnsi"/>
          <w:color w:val="1F497D" w:themeColor="text2"/>
        </w:rPr>
        <w:t>success</w:t>
      </w:r>
      <w:proofErr w:type="spellEnd"/>
      <w:r w:rsidRPr="005E710B">
        <w:rPr>
          <w:rFonts w:cstheme="minorHAnsi"/>
          <w:color w:val="1F497D" w:themeColor="text2"/>
        </w:rPr>
        <w:t xml:space="preserve"> </w:t>
      </w:r>
      <w:proofErr w:type="spellStart"/>
      <w:r w:rsidRPr="005E710B">
        <w:rPr>
          <w:rFonts w:cstheme="minorHAnsi"/>
          <w:color w:val="1F497D" w:themeColor="text2"/>
        </w:rPr>
        <w:t>fee</w:t>
      </w:r>
      <w:proofErr w:type="spellEnd"/>
      <w:r w:rsidRPr="005E710B">
        <w:rPr>
          <w:rFonts w:cstheme="minorHAnsi"/>
          <w:color w:val="1F497D" w:themeColor="text2"/>
        </w:rPr>
        <w:t xml:space="preserve"> ». Pourcentage du montant levé, de la valeur de la cession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ou de l’acquisition (entre 3 et 6%) avec minimum. Une partie restera cependant fixe, mais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limitée.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b/>
          <w:bCs/>
          <w:color w:val="1F497D" w:themeColor="text2"/>
        </w:rPr>
        <w:t xml:space="preserve">Action d’accompagnement : </w:t>
      </w:r>
      <w:r w:rsidRPr="005E710B">
        <w:rPr>
          <w:rFonts w:cstheme="minorHAnsi"/>
          <w:color w:val="1F497D" w:themeColor="text2"/>
        </w:rPr>
        <w:t>fixe minimum de 3000 Euros par mois. Exemple : un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« coaching » chef d’entreprise sur business plan et stratégie de développement : 4000 Euros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par mois avec engagement de nous confier la levée de fonds ou la cession, ou l’acquisition,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ou la gestion patrimoniale qui peut découler du business plan.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Par expérience, les travaux préalables à toute action (levée de fonds, cession, acquisition,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réorganisation financière et juridique) prennent entre 3 et 9 mois. C’est un temps de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réflexion, de maturation et de développement des outils (rédaction d’un Business Plan,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présentation, argumentaire….) qu’il est difficile de « comprimer ».</w:t>
      </w:r>
    </w:p>
    <w:p w:rsidR="005E710B" w:rsidRPr="005E710B" w:rsidRDefault="005E710B" w:rsidP="005E710B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Si nous retenons une moyenne de 6 mois, c’est donc environ 20KEuros que nos clients nous</w:t>
      </w:r>
    </w:p>
    <w:p w:rsidR="005E710B" w:rsidRPr="005E710B" w:rsidRDefault="005E710B" w:rsidP="007B2630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</w:rPr>
      </w:pPr>
      <w:r w:rsidRPr="005E710B">
        <w:rPr>
          <w:rFonts w:cstheme="minorHAnsi"/>
          <w:color w:val="1F497D" w:themeColor="text2"/>
        </w:rPr>
        <w:t>règlent pour la phase d’accompagnement et de préparation à l’action.</w:t>
      </w:r>
    </w:p>
    <w:sectPr w:rsidR="005E710B" w:rsidRPr="005E710B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/>
  <w:defaultTabStop w:val="708"/>
  <w:hyphenationZone w:val="425"/>
  <w:characterSpacingControl w:val="doNotCompress"/>
  <w:compat/>
  <w:rsids>
    <w:rsidRoot w:val="005E710B"/>
    <w:rsid w:val="00316319"/>
    <w:rsid w:val="005E710B"/>
    <w:rsid w:val="007B2630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2011-03-28T09:44:00Z</dcterms:created>
  <dcterms:modified xsi:type="dcterms:W3CDTF">2011-03-28T10:11:00Z</dcterms:modified>
</cp:coreProperties>
</file>