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736469" w:rsidRDefault="00736469"/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736469" w:rsidTr="00736469">
        <w:trPr>
          <w:tblCellSpacing w:w="0" w:type="dxa"/>
        </w:trPr>
        <w:tc>
          <w:tcPr>
            <w:tcW w:w="0" w:type="auto"/>
            <w:shd w:val="clear" w:color="auto" w:fill="B0C842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736469" w:rsidRDefault="00736469">
            <w:pPr>
              <w:pStyle w:val="Titre1"/>
              <w:spacing w:before="0" w:beforeAutospacing="0" w:after="0" w:afterAutospacing="0"/>
              <w:rPr>
                <w:rFonts w:ascii="Tahoma" w:eastAsia="Times New Roman" w:hAnsi="Tahoma" w:cs="Tahoma"/>
                <w:color w:val="FFFFFF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FFFF"/>
                <w:sz w:val="20"/>
                <w:szCs w:val="20"/>
              </w:rPr>
              <w:t>Viadeo Hubs</w:t>
            </w:r>
          </w:p>
        </w:tc>
      </w:tr>
    </w:tbl>
    <w:p w:rsidR="00736469" w:rsidRDefault="00736469" w:rsidP="00736469">
      <w:pPr>
        <w:rPr>
          <w:rFonts w:ascii="Tahoma" w:eastAsia="Times New Roman" w:hAnsi="Tahoma" w:cs="Tahoma"/>
          <w:vanish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736469" w:rsidTr="007364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hideMark/>
          </w:tcPr>
          <w:p w:rsidR="00736469" w:rsidRDefault="00D810EA">
            <w:pPr>
              <w:pStyle w:val="Titre1"/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</w:rPr>
            </w:pPr>
            <w:hyperlink r:id="rId5" w:history="1">
              <w:r w:rsidR="00736469">
                <w:rPr>
                  <w:rStyle w:val="Lienhypertexte"/>
                  <w:rFonts w:ascii="Tahoma" w:eastAsia="Times New Roman" w:hAnsi="Tahoma" w:cs="Tahoma"/>
                  <w:color w:val="3279A2"/>
                  <w:sz w:val="24"/>
                  <w:szCs w:val="24"/>
                </w:rPr>
                <w:t>CLUB DES DRH &amp; EXPERTS RH - EVENT &amp; PRIVILEGES</w:t>
              </w:r>
            </w:hyperlink>
            <w:r w:rsidR="00736469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="00736469">
              <w:rPr>
                <w:rFonts w:ascii="Tahoma" w:eastAsia="Times New Roman" w:hAnsi="Tahoma" w:cs="Tahoma"/>
                <w:sz w:val="20"/>
                <w:szCs w:val="20"/>
              </w:rPr>
              <w:br/>
              <w:t>Top DRH Evian***** - 16 &amp; 17 Mars - Dernière(s) Place(s)</w:t>
            </w:r>
          </w:p>
          <w:p w:rsidR="00736469" w:rsidRDefault="00736469">
            <w:pPr>
              <w:pStyle w:val="NormalWeb"/>
              <w:spacing w:before="45" w:before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Message de </w:t>
            </w:r>
            <w:hyperlink r:id="rId6" w:history="1">
              <w:r>
                <w:rPr>
                  <w:rStyle w:val="Lienhypertexte"/>
                  <w:rFonts w:ascii="Tahoma" w:hAnsi="Tahoma" w:cs="Tahoma"/>
                  <w:color w:val="327999"/>
                  <w:sz w:val="20"/>
                  <w:szCs w:val="20"/>
                </w:rPr>
                <w:t>Fabrice KHALFA</w:t>
              </w:r>
            </w:hyperlink>
          </w:p>
          <w:p w:rsidR="00736469" w:rsidRDefault="00D810EA">
            <w:pPr>
              <w:pStyle w:val="Titre1"/>
              <w:spacing w:before="0" w:beforeAutospacing="0" w:after="0" w:afterAutospacing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810EA">
              <w:rPr>
                <w:rFonts w:ascii="Tahoma" w:eastAsia="Times New Roman" w:hAnsi="Tahoma" w:cs="Tahoma"/>
                <w:sz w:val="20"/>
                <w:szCs w:val="20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Chers 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>Responsables de la Fonction RH</w:t>
            </w:r>
            <w:r>
              <w:rPr>
                <w:rFonts w:ascii="Tahoma" w:hAnsi="Tahoma" w:cs="Tahoma"/>
                <w:sz w:val="17"/>
                <w:szCs w:val="17"/>
              </w:rPr>
              <w:t xml:space="preserve"> &amp; 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>Experts RH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Les 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>16 &amp; 17 Mars</w:t>
            </w:r>
            <w:r>
              <w:rPr>
                <w:rFonts w:ascii="Tahoma" w:hAnsi="Tahoma" w:cs="Tahoma"/>
                <w:sz w:val="17"/>
                <w:szCs w:val="17"/>
              </w:rPr>
              <w:t xml:space="preserve"> prochains se tiendra au sein de l'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 xml:space="preserve">Evian Royal </w:t>
            </w:r>
            <w:proofErr w:type="spellStart"/>
            <w:r>
              <w:rPr>
                <w:rStyle w:val="lev"/>
                <w:rFonts w:ascii="Tahoma" w:hAnsi="Tahoma" w:cs="Tahoma"/>
                <w:sz w:val="17"/>
                <w:szCs w:val="17"/>
              </w:rPr>
              <w:t>Resort</w:t>
            </w:r>
            <w:proofErr w:type="spellEnd"/>
            <w:r>
              <w:rPr>
                <w:rStyle w:val="lev"/>
                <w:rFonts w:ascii="Tahoma" w:hAnsi="Tahoma" w:cs="Tahoma"/>
                <w:sz w:val="17"/>
                <w:szCs w:val="17"/>
              </w:rPr>
              <w:t>***** la 2ème Convention d'Affaires Top DRH Sud</w:t>
            </w:r>
            <w:r>
              <w:rPr>
                <w:rFonts w:ascii="Tahoma" w:hAnsi="Tahoma" w:cs="Tahoma"/>
                <w:sz w:val="17"/>
                <w:szCs w:val="17"/>
              </w:rPr>
              <w:t xml:space="preserve"> qui réunira pas moins de </w:t>
            </w:r>
            <w:r>
              <w:rPr>
                <w:rStyle w:val="lev"/>
                <w:rFonts w:ascii="Tahoma" w:hAnsi="Tahoma" w:cs="Tahoma"/>
                <w:sz w:val="17"/>
                <w:szCs w:val="17"/>
                <w:u w:val="single"/>
              </w:rPr>
              <w:t>100 Responsables de la Fonction RH et 40 Experts RH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La Convention d'Affaires permet à tous les participants :</w:t>
            </w:r>
          </w:p>
          <w:p w:rsidR="00736469" w:rsidRDefault="00736469" w:rsidP="00A70F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L'accès à des ateliers thématiques traitant de sujets d'actualité RH (voir programme ci-dessous)</w:t>
            </w:r>
          </w:p>
          <w:p w:rsidR="00736469" w:rsidRDefault="00736469" w:rsidP="00A70F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Des échanges entre Experts RH et Responsable de la Fonction RH sous forme de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Rendez-Vous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organisé en amont</w:t>
            </w:r>
          </w:p>
          <w:p w:rsidR="00736469" w:rsidRDefault="00736469" w:rsidP="00A70F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Des échanges entre Responsable de la Fonction RH ( Benchmark, Partage de Pratiques)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Tout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celà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en résidentiel, dans un cadre convivial et prestigieux au sein de l'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 xml:space="preserve">Evian Royal </w:t>
            </w:r>
            <w:proofErr w:type="spellStart"/>
            <w:r>
              <w:rPr>
                <w:rStyle w:val="lev"/>
                <w:rFonts w:ascii="Tahoma" w:hAnsi="Tahoma" w:cs="Tahoma"/>
                <w:sz w:val="17"/>
                <w:szCs w:val="17"/>
              </w:rPr>
              <w:t>Resort</w:t>
            </w:r>
            <w:proofErr w:type="spellEnd"/>
            <w:r>
              <w:rPr>
                <w:rStyle w:val="lev"/>
                <w:rFonts w:ascii="Tahoma" w:hAnsi="Tahoma" w:cs="Tahoma"/>
                <w:sz w:val="17"/>
                <w:szCs w:val="17"/>
              </w:rPr>
              <w:t>*****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>Parmi les</w:t>
            </w:r>
            <w:r>
              <w:rPr>
                <w:rStyle w:val="lev"/>
                <w:rFonts w:ascii="Tahoma" w:hAnsi="Tahoma" w:cs="Tahoma"/>
                <w:i/>
                <w:iCs/>
                <w:sz w:val="17"/>
                <w:szCs w:val="17"/>
                <w:u w:val="single"/>
              </w:rPr>
              <w:t xml:space="preserve"> Responsables de la Fonction RH </w:t>
            </w: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>déjà inscrits sur cette Convention :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lev"/>
                <w:rFonts w:ascii="Tahoma" w:hAnsi="Tahoma" w:cs="Tahoma"/>
                <w:sz w:val="17"/>
                <w:szCs w:val="17"/>
              </w:rPr>
              <w:t>ALSTROHM LABELPACK - GROUPE APRIL - ARKEMA FRANCE - AUBERT &amp; DUVAL -AUTOGRILL - AVIAPARTNERS - CAISSE DES DEPOTS ET CONSIGNATIONS - CALBERSON RHONE ALPES - CEGELEC - CHI DES PORTES DE L OISE -CIPAV - CLUBMEDGYM - DELL SA - DERMET SAS - EGS GROUPE LAURENT -ENTREMONT ALLIANCE - ERAS INGENIERIE - EVIAN RESORT - GROUPE EYNARD ROBIN - FOURQUES OUEST - FUJITSU TECHNOLOGIES SOLUTIONS - GL EVENTS - GROUPE ADECCO - GROUPAMA - GROUPE GABIS - GROUPE PARTOUCHE - HANDICAP INTERNATIONAL - GROUPE HILTON - GROUPE MADRANGE - MAIRIE D'EVIAN LES BAINS - MAIRIE DE PARIS - GROUPE MICHELIN - IMASONIC - KIABI - LA POSTE COURRIER - LABORATOIRES TAKEDA - GROUPE LEGRAND - MINISTERE DU TRAVAIL DE LA SANTE DE L EMPLOI ET DU SPORT - MUTUALITE FONCTION PUBLIQUE SERVICES - NOKIA SIEMENS NETWORK - NORD SUD DEVELOPPEMENT SAS - NORSYS -ONTEX FRANCE - POLE EMPLOI - PROVENCIA - PUIG FRANCE - SAEME - DANONE - GROUPE VITAMINE T - SKF FRANCE - TRANSGOURMET - BOCCARD - ALLOGA FRANCE - ECKES GRANINI FRANCE - SAVILLS - HOPITAL PRIVE JEAN MERMOZ - DANFOSS - GALERIES LAFAYETTE - HARDIS - SCHNEIDER ELECTRIC - GROUPE ZIEGLER - TECHNIP FRANCE - RHODIA - SKYGUIDE - DASSAULT FALCON SERVICE - IPS SANTE DOMICILE - RENAULT ACADEMY - SNCF - MBS - GROUPE MULLER - SAS PERRIN - LABORATOIRES URGO- MUTUELLE NATIONALE AVIATION MARINE - AXA FRANCE - GROUPE GFI - COLLECTIVITES DE SAINT PRIEST- GOODRICH AEROSPACE...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 xml:space="preserve">Parmi les </w:t>
            </w:r>
            <w:r>
              <w:rPr>
                <w:rStyle w:val="lev"/>
                <w:rFonts w:ascii="Tahoma" w:hAnsi="Tahoma" w:cs="Tahoma"/>
                <w:i/>
                <w:iCs/>
                <w:sz w:val="17"/>
                <w:szCs w:val="17"/>
                <w:u w:val="single"/>
              </w:rPr>
              <w:t xml:space="preserve">Experts RH </w:t>
            </w: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>déjà inscrits sur cette Convention :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lev"/>
                <w:rFonts w:ascii="Tahoma" w:hAnsi="Tahoma" w:cs="Tahoma"/>
                <w:sz w:val="17"/>
                <w:szCs w:val="17"/>
              </w:rPr>
              <w:t>MARIANNE EXPERTS - CSP FORMATION - PARTI PRIS - AURALOG TELL ME MORE - IAPR - MAGNULTEAM - QOVEO - HAPSIS - CONSCIO TECHNOLOGIES - OPTIMA RH CONSULTING - SUCCESS INSIGHT - CAP 21 CONSEIL EN RESSOURCES HUMAINES - BODET - IDRAC - PSYA - CROSSKNOWLEDGE - CONVICTIONS RH - EIFFEL CONSEIL - RESSOURCES ET PEDAGOGIES - GROUPE IGS - GROUPE APICIL - MOOVEO RH - ARIANE CONSEIL - ERNST &amp; YOUNG - OPENTOJOB - TRAINING ORCHESTRA - EFFICIENCE RH - VIA HUMANIS - ETS GLOBAL - SODIE - EM GRENOBLE - VIADEO - SUP DE MONTPELLIER - SYNTONIS - NICOMAK - SYMETRIX - GROUPE ADENCLASSIFIED - CADREMPLOI - CADRESONLINES - KELJOB -ADENSOURCING- ENOV FORMATION -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 xml:space="preserve">Parmi les </w:t>
            </w:r>
            <w:r>
              <w:rPr>
                <w:rStyle w:val="lev"/>
                <w:rFonts w:ascii="Tahoma" w:hAnsi="Tahoma" w:cs="Tahoma"/>
                <w:i/>
                <w:iCs/>
                <w:sz w:val="17"/>
                <w:szCs w:val="17"/>
                <w:u w:val="single"/>
              </w:rPr>
              <w:t>sujets traités</w:t>
            </w:r>
            <w:r>
              <w:rPr>
                <w:rStyle w:val="Accentuation"/>
                <w:rFonts w:ascii="Tahoma" w:hAnsi="Tahoma" w:cs="Tahoma"/>
                <w:sz w:val="17"/>
                <w:szCs w:val="17"/>
              </w:rPr>
              <w:t xml:space="preserve"> lors de ces 2 jours de Convention: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Comment évaluer 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amméliorer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l'efficacité des formations avec le Rich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learning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Gestion de crise : DRH devenez un centre de profit en optimisant vos charges sociales.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lastRenderedPageBreak/>
              <w:t>DRH : comment soutenir les managers de votre entreprise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Le baromètre social : son utilité aujourd'hui : innovation, efficacité et rentabilité.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La formation 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t-elle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encore son avenir dans l'entreprise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Détecter le potentiel managérial de vos collaborateurs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Quels priorités et quels moyens pour les organisations des Ressources Humaines?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 la prévention des Risques Psychosociaux à l'intégration du "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well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being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work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" dans votre stratégie RH : quels leviers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Développement des compétences, mobilité, GPEC : comment anticiper les besoins pour mettre en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oeuvre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la stratégie de l'entreprise.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Talent Management et Leadership : comment être en ligne avec le business et la stratégie de l'entreprise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Quelles sont les conséquences de la réforme de la formation professionnelle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Développer les compétences pour accroître 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perfomance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Face à la crise, comment faire preuve d'adaptation et de réactivité pour préserver la compétitivité de votre entreprise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Loi sur les séniors :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éléborer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un plan d'action constructif.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 Mobilité au service de la performance de votre entreprise.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L'impact des réseaux sociaux sur la stratégie RH.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Comment répondre aux impératifs de flexibilité tout en continuant d'attirer et retenir les compétences critiques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Comment faire face au désengagement des cadres et à l'impact de la crise économique sur leur relation à l'entreprise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Quelle stratégie efficace de la Gestion de la Performance et des Talents?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Comment faire des managers les leaders du changement et de la performance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Collaboratif, CSP ou externalisation de votre gestion administrative et paie : comment faire le bon choix et pour quel ROI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Les accidents du travail et maladie professionnelle : enjeux financiers économiques et sociaux.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 gestion du capital formation.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 la productivité à la santé, un risque économique pour l'entreprise.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 gestion de communauté de candidats sur les réseaux sociaux : du concept à la réalité ?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Mise en place 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ingéniérie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d'une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blended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learning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: une expérience efficace.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Risques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psychociaux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et stress au travail : engager une démarche de prévention durable.</w:t>
            </w:r>
          </w:p>
          <w:p w:rsidR="00736469" w:rsidRDefault="00736469" w:rsidP="00A70F8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Comment développer 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fléxibilité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de vos collaborateurs dans une environnement en perpétuel changement ?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 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lev"/>
                <w:rFonts w:ascii="Tahoma" w:hAnsi="Tahoma" w:cs="Tahoma"/>
                <w:sz w:val="17"/>
                <w:szCs w:val="17"/>
                <w:u w:val="single"/>
              </w:rPr>
              <w:t>Il ne reste plus que quelques heures avant la clôture des inscriptions</w:t>
            </w:r>
            <w:r>
              <w:rPr>
                <w:rStyle w:val="lev"/>
                <w:rFonts w:ascii="Tahoma" w:hAnsi="Tahoma" w:cs="Tahoma"/>
                <w:sz w:val="17"/>
                <w:szCs w:val="17"/>
              </w:rPr>
              <w:t xml:space="preserve"> !</w:t>
            </w:r>
          </w:p>
          <w:p w:rsid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Je vous invite, si cette prochaine édition suscite votre intérêt , à prendre rapidement contact avec l'organisation pour toute information complémentaire -( possibilité de participer une seule journée )</w:t>
            </w:r>
          </w:p>
          <w:p w:rsidR="00736469" w:rsidRP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 xml:space="preserve">Fabrice </w:t>
            </w:r>
            <w:proofErr w:type="spellStart"/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>Khalfa</w:t>
            </w:r>
            <w:proofErr w:type="spellEnd"/>
          </w:p>
          <w:p w:rsidR="00736469" w:rsidRP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>Tel : 01 53 10 79 42</w:t>
            </w:r>
          </w:p>
          <w:p w:rsidR="00736469" w:rsidRP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  <w:lang w:val="en-US"/>
              </w:rPr>
            </w:pPr>
            <w:proofErr w:type="spellStart"/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>Por</w:t>
            </w:r>
            <w:proofErr w:type="spellEnd"/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 xml:space="preserve"> :06 09 31 73 </w:t>
            </w:r>
            <w:proofErr w:type="spellStart"/>
            <w:r w:rsidRPr="00736469">
              <w:rPr>
                <w:rStyle w:val="lev"/>
                <w:rFonts w:ascii="Tahoma" w:hAnsi="Tahoma" w:cs="Tahoma"/>
                <w:sz w:val="17"/>
                <w:szCs w:val="17"/>
                <w:lang w:val="en-US"/>
              </w:rPr>
              <w:t>73</w:t>
            </w:r>
            <w:proofErr w:type="spellEnd"/>
          </w:p>
          <w:p w:rsidR="00736469" w:rsidRPr="00736469" w:rsidRDefault="00D810EA">
            <w:pPr>
              <w:pStyle w:val="NormalWeb"/>
              <w:rPr>
                <w:rFonts w:ascii="Tahoma" w:hAnsi="Tahoma" w:cs="Tahoma"/>
                <w:sz w:val="17"/>
                <w:szCs w:val="17"/>
                <w:lang w:val="en-US"/>
              </w:rPr>
            </w:pPr>
            <w:hyperlink r:id="rId7" w:history="1">
              <w:r w:rsidR="00736469" w:rsidRPr="00736469">
                <w:rPr>
                  <w:rStyle w:val="Lienhypertexte"/>
                  <w:rFonts w:ascii="Tahoma" w:hAnsi="Tahoma" w:cs="Tahoma"/>
                  <w:sz w:val="17"/>
                  <w:szCs w:val="17"/>
                  <w:lang w:val="en-US"/>
                </w:rPr>
                <w:t>fkhalfa@arcaneo-group.com</w:t>
              </w:r>
            </w:hyperlink>
          </w:p>
          <w:p w:rsidR="00736469" w:rsidRPr="00736469" w:rsidRDefault="00736469">
            <w:pPr>
              <w:pStyle w:val="NormalWeb"/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736469">
              <w:rPr>
                <w:rFonts w:ascii="Tahoma" w:hAnsi="Tahoma" w:cs="Tahoma"/>
                <w:sz w:val="17"/>
                <w:szCs w:val="17"/>
                <w:lang w:val="en-US"/>
              </w:rPr>
              <w:t> </w:t>
            </w:r>
          </w:p>
          <w:p w:rsidR="00736469" w:rsidRPr="00736469" w:rsidRDefault="00736469">
            <w:pPr>
              <w:pStyle w:val="Titre1"/>
              <w:spacing w:before="0" w:beforeAutospacing="0" w:after="0" w:afterAutospacing="0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3646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 </w:t>
            </w:r>
          </w:p>
          <w:p w:rsidR="00736469" w:rsidRDefault="00D810EA">
            <w:pPr>
              <w:pStyle w:val="NormalWeb"/>
              <w:spacing w:after="210" w:afterAutospacing="0"/>
              <w:jc w:val="center"/>
              <w:rPr>
                <w:rFonts w:ascii="Tahoma" w:hAnsi="Tahoma" w:cs="Tahoma"/>
                <w:sz w:val="17"/>
                <w:szCs w:val="17"/>
              </w:rPr>
            </w:pPr>
            <w:hyperlink r:id="rId8" w:history="1">
              <w:r w:rsidR="00736469">
                <w:rPr>
                  <w:rStyle w:val="Lienhypertexte"/>
                  <w:rFonts w:ascii="Tahoma" w:hAnsi="Tahoma" w:cs="Tahoma"/>
                  <w:color w:val="327999"/>
                </w:rPr>
                <w:t>Visitez le Hub</w:t>
              </w:r>
            </w:hyperlink>
          </w:p>
          <w:p w:rsidR="00736469" w:rsidRDefault="0073646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br/>
              <w:t>Ce message a été envoyé par l'administrateur à tous les membres du hub.</w:t>
            </w:r>
          </w:p>
        </w:tc>
      </w:tr>
    </w:tbl>
    <w:p w:rsidR="00804DE9" w:rsidRDefault="00804DE9"/>
    <w:p w:rsidR="00804DE9" w:rsidRDefault="00804DE9">
      <w:pPr>
        <w:spacing w:after="200" w:line="276" w:lineRule="auto"/>
      </w:pPr>
      <w:r>
        <w:br w:type="page"/>
      </w:r>
    </w:p>
    <w:p w:rsidR="00736469" w:rsidRDefault="00736469"/>
    <w:p w:rsidR="00804DE9" w:rsidRDefault="00804DE9"/>
    <w:p w:rsidR="00804DE9" w:rsidRDefault="00804DE9">
      <w:r>
        <w:t>Autres cibles :</w:t>
      </w:r>
    </w:p>
    <w:p w:rsidR="00804DE9" w:rsidRDefault="00804DE9"/>
    <w:p w:rsidR="00804DE9" w:rsidRDefault="00804DE9">
      <w:r>
        <w:rPr>
          <w:rFonts w:ascii="Arial" w:eastAsia="Times New Roman" w:hAnsi="Arial" w:cs="Arial"/>
          <w:color w:val="000000"/>
        </w:rPr>
        <w:t xml:space="preserve">Merck Santé, L'Humanité, Ouest France, Nice Matin, La Dépêche </w:t>
      </w:r>
      <w:proofErr w:type="spellStart"/>
      <w:r>
        <w:rPr>
          <w:rFonts w:ascii="Arial" w:eastAsia="Times New Roman" w:hAnsi="Arial" w:cs="Arial"/>
          <w:color w:val="000000"/>
        </w:rPr>
        <w:t>Multimedia</w:t>
      </w:r>
      <w:proofErr w:type="spellEnd"/>
      <w:r>
        <w:rPr>
          <w:rFonts w:ascii="Arial" w:eastAsia="Times New Roman" w:hAnsi="Arial" w:cs="Arial"/>
          <w:color w:val="000000"/>
        </w:rPr>
        <w:t xml:space="preserve">, La République du Centre, Editions </w:t>
      </w:r>
      <w:proofErr w:type="spellStart"/>
      <w:r>
        <w:rPr>
          <w:rFonts w:ascii="Arial" w:eastAsia="Times New Roman" w:hAnsi="Arial" w:cs="Arial"/>
          <w:color w:val="000000"/>
        </w:rPr>
        <w:t>Dangles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O'Reilly</w:t>
      </w:r>
      <w:proofErr w:type="spellEnd"/>
      <w:r>
        <w:rPr>
          <w:rFonts w:ascii="Arial" w:eastAsia="Times New Roman" w:hAnsi="Arial" w:cs="Arial"/>
          <w:color w:val="000000"/>
        </w:rPr>
        <w:t xml:space="preserve">, PUF, L'Eveil, Groupe Express-Roularta, L'Occitane, ILOG, CCI Nice, SAP, </w:t>
      </w:r>
      <w:proofErr w:type="spellStart"/>
      <w:r>
        <w:rPr>
          <w:rFonts w:ascii="Arial" w:eastAsia="Times New Roman" w:hAnsi="Arial" w:cs="Arial"/>
          <w:color w:val="000000"/>
        </w:rPr>
        <w:t>Regus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Fagor</w:t>
      </w:r>
      <w:proofErr w:type="spellEnd"/>
      <w:r>
        <w:rPr>
          <w:rFonts w:ascii="Arial" w:eastAsia="Times New Roman" w:hAnsi="Arial" w:cs="Arial"/>
          <w:color w:val="000000"/>
        </w:rPr>
        <w:t xml:space="preserve">, Walt Disney, Laboratoires Pierre Fabre, Conseil Général 57, </w:t>
      </w:r>
      <w:proofErr w:type="spellStart"/>
      <w:r>
        <w:rPr>
          <w:rFonts w:ascii="Arial" w:eastAsia="Times New Roman" w:hAnsi="Arial" w:cs="Arial"/>
          <w:color w:val="000000"/>
        </w:rPr>
        <w:t>Hotel</w:t>
      </w:r>
      <w:proofErr w:type="spellEnd"/>
      <w:r>
        <w:rPr>
          <w:rFonts w:ascii="Arial" w:eastAsia="Times New Roman" w:hAnsi="Arial" w:cs="Arial"/>
          <w:color w:val="000000"/>
        </w:rPr>
        <w:t xml:space="preserve"> Windsor, Sun Immobilier, CNRS Montpellier, Lipton Informatique, Résidences Open, Plein Vent Voyages, CDT Alpes de Hautes Provence, </w:t>
      </w:r>
      <w:proofErr w:type="spellStart"/>
      <w:r>
        <w:rPr>
          <w:rFonts w:ascii="Arial" w:eastAsia="Times New Roman" w:hAnsi="Arial" w:cs="Arial"/>
          <w:color w:val="000000"/>
        </w:rPr>
        <w:t>Abritel</w:t>
      </w:r>
      <w:proofErr w:type="spellEnd"/>
      <w:r>
        <w:rPr>
          <w:rFonts w:ascii="Arial" w:eastAsia="Times New Roman" w:hAnsi="Arial" w:cs="Arial"/>
          <w:color w:val="000000"/>
        </w:rPr>
        <w:t xml:space="preserve">, Méditerranée Technologies, </w:t>
      </w:r>
      <w:proofErr w:type="spellStart"/>
      <w:r>
        <w:rPr>
          <w:rFonts w:ascii="Arial" w:eastAsia="Times New Roman" w:hAnsi="Arial" w:cs="Arial"/>
          <w:color w:val="000000"/>
        </w:rPr>
        <w:t>Quescom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Financior</w:t>
      </w:r>
      <w:proofErr w:type="spellEnd"/>
      <w:r>
        <w:rPr>
          <w:rFonts w:ascii="Arial" w:eastAsia="Times New Roman" w:hAnsi="Arial" w:cs="Arial"/>
          <w:color w:val="000000"/>
        </w:rPr>
        <w:t xml:space="preserve">, Immo 2000, </w:t>
      </w:r>
      <w:proofErr w:type="spellStart"/>
      <w:r>
        <w:rPr>
          <w:rFonts w:ascii="Arial" w:eastAsia="Times New Roman" w:hAnsi="Arial" w:cs="Arial"/>
          <w:color w:val="000000"/>
        </w:rPr>
        <w:t>Cornilleu,Office</w:t>
      </w:r>
      <w:proofErr w:type="spellEnd"/>
      <w:r>
        <w:rPr>
          <w:rFonts w:ascii="Arial" w:eastAsia="Times New Roman" w:hAnsi="Arial" w:cs="Arial"/>
          <w:color w:val="000000"/>
        </w:rPr>
        <w:t xml:space="preserve"> de tourisme de Fécamp, </w:t>
      </w:r>
      <w:proofErr w:type="spellStart"/>
      <w:r>
        <w:rPr>
          <w:rFonts w:ascii="Arial" w:eastAsia="Times New Roman" w:hAnsi="Arial" w:cs="Arial"/>
          <w:color w:val="000000"/>
        </w:rPr>
        <w:t>Verlinde</w:t>
      </w:r>
      <w:proofErr w:type="spellEnd"/>
      <w:r>
        <w:rPr>
          <w:rFonts w:ascii="Arial" w:eastAsia="Times New Roman" w:hAnsi="Arial" w:cs="Arial"/>
          <w:color w:val="000000"/>
        </w:rPr>
        <w:t>, L'Arbre Vert, Parfums Jean Bouis, Legrand</w:t>
      </w:r>
    </w:p>
    <w:sectPr w:rsidR="00804DE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729"/>
    <w:multiLevelType w:val="multilevel"/>
    <w:tmpl w:val="4B3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65FEC"/>
    <w:multiLevelType w:val="multilevel"/>
    <w:tmpl w:val="4338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36469"/>
    <w:rsid w:val="00736469"/>
    <w:rsid w:val="00804DE9"/>
    <w:rsid w:val="00C32BBC"/>
    <w:rsid w:val="00D810EA"/>
    <w:rsid w:val="00D95664"/>
    <w:rsid w:val="00FD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6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364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6469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64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646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36469"/>
    <w:rPr>
      <w:b/>
      <w:bCs/>
    </w:rPr>
  </w:style>
  <w:style w:type="character" w:styleId="Accentuation">
    <w:name w:val="Emphasis"/>
    <w:basedOn w:val="Policepardfaut"/>
    <w:uiPriority w:val="20"/>
    <w:qFormat/>
    <w:rsid w:val="007364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eo.com/groups/?containerId=0021vb4iipe4z2z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khalfa@arcaneo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deo.com/recherche/profil/?memberId=002vxo0wpmwwx5t" TargetMode="External"/><Relationship Id="rId5" Type="http://schemas.openxmlformats.org/officeDocument/2006/relationships/hyperlink" Target="http://www.viadeo.com/groups/?containerId=0021vb4iipe4z2z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2011-03-01T08:51:00Z</dcterms:created>
  <dcterms:modified xsi:type="dcterms:W3CDTF">2011-03-07T16:51:00Z</dcterms:modified>
</cp:coreProperties>
</file>