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8C" w:rsidRPr="002A6312" w:rsidRDefault="00390C8C" w:rsidP="002A6312">
      <w:pPr>
        <w:pBdr>
          <w:bottom w:val="single" w:sz="4" w:space="1" w:color="auto"/>
        </w:pBdr>
        <w:tabs>
          <w:tab w:val="right" w:pos="10490"/>
        </w:tabs>
        <w:spacing w:after="0"/>
        <w:rPr>
          <w:sz w:val="24"/>
          <w:szCs w:val="24"/>
        </w:rPr>
      </w:pPr>
      <w:r w:rsidRPr="00CE5CFA">
        <w:rPr>
          <w:sz w:val="36"/>
          <w:szCs w:val="36"/>
        </w:rPr>
        <w:t>CAPSTONE</w:t>
      </w:r>
      <w:r>
        <w:rPr>
          <w:sz w:val="36"/>
          <w:szCs w:val="36"/>
        </w:rPr>
        <w:tab/>
      </w:r>
      <w:r w:rsidRPr="008371AE">
        <w:rPr>
          <w:sz w:val="28"/>
          <w:szCs w:val="28"/>
        </w:rPr>
        <w:t>S</w:t>
      </w:r>
      <w:r w:rsidRPr="002A6312">
        <w:rPr>
          <w:sz w:val="24"/>
          <w:szCs w:val="24"/>
        </w:rPr>
        <w:t>ociété</w:t>
      </w:r>
      <w:r>
        <w:rPr>
          <w:sz w:val="24"/>
          <w:szCs w:val="24"/>
        </w:rPr>
        <w:t xml:space="preserve"> d’investissement immobilierpartenaire des PME-PMI</w:t>
      </w:r>
    </w:p>
    <w:p w:rsidR="00390C8C" w:rsidRDefault="00390C8C" w:rsidP="00CE5CFA">
      <w:pPr>
        <w:spacing w:after="0"/>
      </w:pPr>
      <w:r>
        <w:t>2, rue de la Treille</w:t>
      </w:r>
    </w:p>
    <w:p w:rsidR="00390C8C" w:rsidRDefault="00390C8C" w:rsidP="00CE5CFA">
      <w:pPr>
        <w:spacing w:after="0"/>
      </w:pPr>
      <w:r>
        <w:t>60270 Chantilly-Gouvieux, France</w:t>
      </w:r>
    </w:p>
    <w:p w:rsidR="00390C8C" w:rsidRDefault="00390C8C" w:rsidP="00CE5CFA">
      <w:pPr>
        <w:spacing w:after="0"/>
      </w:pPr>
      <w:r>
        <w:t>Tel : +33 (0)3 44 73 32 09</w:t>
      </w:r>
    </w:p>
    <w:p w:rsidR="00390C8C" w:rsidRDefault="00390C8C" w:rsidP="00CE5CFA">
      <w:pPr>
        <w:spacing w:after="0"/>
      </w:pPr>
      <w:r>
        <w:t>Mail : stephane.lipp@capstone.fr</w:t>
      </w:r>
    </w:p>
    <w:p w:rsidR="00390C8C" w:rsidRDefault="00390C8C" w:rsidP="00CE5CFA">
      <w:pPr>
        <w:spacing w:after="0"/>
      </w:pPr>
    </w:p>
    <w:p w:rsidR="00390C8C" w:rsidRDefault="00390C8C" w:rsidP="008371AE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390C8C" w:rsidRPr="00F773D5" w:rsidRDefault="00390C8C" w:rsidP="00F773D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/>
          <w:b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sz w:val="20"/>
          <w:szCs w:val="20"/>
          <w:lang w:eastAsia="zh-CN"/>
        </w:rPr>
        <w:t xml:space="preserve">1- </w:t>
      </w:r>
      <w:r w:rsidRPr="00F773D5">
        <w:rPr>
          <w:rFonts w:ascii="Times New Roman" w:eastAsia="SimSun" w:hAnsi="Times New Roman"/>
          <w:b/>
          <w:sz w:val="20"/>
          <w:szCs w:val="20"/>
          <w:lang w:eastAsia="zh-CN"/>
        </w:rPr>
        <w:t>Proposition</w:t>
      </w:r>
    </w:p>
    <w:p w:rsidR="00390C8C" w:rsidRDefault="00390C8C" w:rsidP="008371AE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 xml:space="preserve">Nous proposons à des </w:t>
      </w:r>
      <w:r w:rsidRPr="00F946DB">
        <w:rPr>
          <w:rFonts w:ascii="Times New Roman" w:eastAsia="SimSun" w:hAnsi="Times New Roman"/>
          <w:b/>
          <w:sz w:val="20"/>
          <w:szCs w:val="20"/>
          <w:lang w:eastAsia="zh-CN"/>
        </w:rPr>
        <w:t>investisseurs de haut de bilan </w:t>
      </w:r>
      <w:r>
        <w:rPr>
          <w:rFonts w:ascii="Times New Roman" w:eastAsia="SimSun" w:hAnsi="Times New Roman"/>
          <w:sz w:val="20"/>
          <w:szCs w:val="20"/>
          <w:lang w:eastAsia="zh-CN"/>
        </w:rPr>
        <w:t>:</w:t>
      </w:r>
    </w:p>
    <w:p w:rsidR="00390C8C" w:rsidRDefault="00390C8C" w:rsidP="00EC322F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right="24" w:hanging="142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AC0C88">
        <w:rPr>
          <w:rFonts w:ascii="Times New Roman" w:eastAsia="SimSun" w:hAnsi="Times New Roman"/>
          <w:sz w:val="20"/>
          <w:szCs w:val="20"/>
          <w:lang w:eastAsia="zh-CN"/>
        </w:rPr>
        <w:t xml:space="preserve">De participer au financement du développement de la « foncière des PME » dont la mission est d’apporter aux PME tous 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les </w:t>
      </w:r>
      <w:bookmarkStart w:id="0" w:name="_GoBack"/>
      <w:bookmarkEnd w:id="0"/>
      <w:r w:rsidRPr="00AC0C88">
        <w:rPr>
          <w:rFonts w:ascii="Times New Roman" w:eastAsia="SimSun" w:hAnsi="Times New Roman"/>
          <w:sz w:val="20"/>
          <w:szCs w:val="20"/>
          <w:lang w:eastAsia="zh-CN"/>
        </w:rPr>
        <w:t xml:space="preserve">services liés à leurs besoins immobiliers : location de biens, </w:t>
      </w:r>
      <w:r>
        <w:rPr>
          <w:rFonts w:ascii="Times New Roman" w:eastAsia="SimSun" w:hAnsi="Times New Roman"/>
          <w:sz w:val="20"/>
          <w:szCs w:val="20"/>
          <w:lang w:eastAsia="zh-CN"/>
        </w:rPr>
        <w:t>externalisation… (positionnement unique).</w:t>
      </w:r>
    </w:p>
    <w:p w:rsidR="00390C8C" w:rsidRPr="00AC0C88" w:rsidRDefault="00390C8C" w:rsidP="00EC322F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right="24" w:hanging="142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AC0C88">
        <w:rPr>
          <w:rFonts w:ascii="Times New Roman" w:eastAsia="SimSun" w:hAnsi="Times New Roman"/>
          <w:sz w:val="20"/>
          <w:szCs w:val="20"/>
          <w:lang w:eastAsia="zh-CN"/>
        </w:rPr>
        <w:t>Et ce faisant, de construire un support financier actions original qui sera introduit en bourse dans 5 ans (sortie des actionnaires initiaux) sur les paramètres suivants :</w:t>
      </w:r>
    </w:p>
    <w:p w:rsidR="00390C8C" w:rsidRDefault="00390C8C" w:rsidP="00BB35D6">
      <w:pPr>
        <w:pStyle w:val="Paragraphedeliste"/>
        <w:numPr>
          <w:ilvl w:val="1"/>
          <w:numId w:val="1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 xml:space="preserve">Couple rendement/risque </w:t>
      </w:r>
      <w:r w:rsidRPr="00F773D5">
        <w:rPr>
          <w:rFonts w:ascii="Times New Roman" w:eastAsia="SimSun" w:hAnsi="Times New Roman"/>
          <w:b/>
          <w:sz w:val="20"/>
          <w:szCs w:val="20"/>
          <w:lang w:eastAsia="zh-CN"/>
        </w:rPr>
        <w:t>10/10</w:t>
      </w:r>
    </w:p>
    <w:p w:rsidR="00390C8C" w:rsidRDefault="00390C8C" w:rsidP="00BB35D6">
      <w:pPr>
        <w:pStyle w:val="Paragraphedeliste"/>
        <w:numPr>
          <w:ilvl w:val="1"/>
          <w:numId w:val="1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 xml:space="preserve">Constitution d’un portefeuille immobilier de </w:t>
      </w:r>
      <w:r w:rsidRPr="00F773D5">
        <w:rPr>
          <w:rFonts w:ascii="Times New Roman" w:eastAsia="SimSun" w:hAnsi="Times New Roman"/>
          <w:b/>
          <w:sz w:val="20"/>
          <w:szCs w:val="20"/>
          <w:lang w:eastAsia="zh-CN"/>
        </w:rPr>
        <w:t>rendement</w:t>
      </w:r>
    </w:p>
    <w:p w:rsidR="00390C8C" w:rsidRDefault="00390C8C" w:rsidP="00BB35D6">
      <w:pPr>
        <w:pStyle w:val="Paragraphedeliste"/>
        <w:numPr>
          <w:ilvl w:val="1"/>
          <w:numId w:val="1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 xml:space="preserve">Horizon d’investissement : </w:t>
      </w:r>
      <w:r w:rsidRPr="00F773D5">
        <w:rPr>
          <w:rFonts w:ascii="Times New Roman" w:eastAsia="SimSun" w:hAnsi="Times New Roman"/>
          <w:b/>
          <w:sz w:val="20"/>
          <w:szCs w:val="20"/>
          <w:lang w:eastAsia="zh-CN"/>
        </w:rPr>
        <w:t>10 ans</w:t>
      </w:r>
    </w:p>
    <w:p w:rsidR="00390C8C" w:rsidRDefault="00390C8C" w:rsidP="00BB35D6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390C8C" w:rsidRDefault="00390C8C" w:rsidP="00BB35D6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390C8C" w:rsidRPr="00F773D5" w:rsidRDefault="00390C8C" w:rsidP="00F773D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/>
          <w:b/>
          <w:sz w:val="20"/>
          <w:szCs w:val="20"/>
          <w:lang w:eastAsia="zh-CN"/>
        </w:rPr>
      </w:pPr>
      <w:r w:rsidRPr="00F773D5">
        <w:rPr>
          <w:rFonts w:ascii="Times New Roman" w:eastAsia="SimSun" w:hAnsi="Times New Roman"/>
          <w:b/>
          <w:sz w:val="20"/>
          <w:szCs w:val="20"/>
          <w:lang w:eastAsia="zh-CN"/>
        </w:rPr>
        <w:t>2</w:t>
      </w:r>
      <w:r>
        <w:rPr>
          <w:rFonts w:ascii="Times New Roman" w:eastAsia="SimSun" w:hAnsi="Times New Roman"/>
          <w:b/>
          <w:sz w:val="20"/>
          <w:szCs w:val="20"/>
          <w:lang w:eastAsia="zh-CN"/>
        </w:rPr>
        <w:t>-</w:t>
      </w:r>
      <w:r w:rsidRPr="00F773D5">
        <w:rPr>
          <w:rFonts w:ascii="Times New Roman" w:eastAsia="SimSun" w:hAnsi="Times New Roman"/>
          <w:b/>
          <w:sz w:val="20"/>
          <w:szCs w:val="20"/>
          <w:lang w:eastAsia="zh-CN"/>
        </w:rPr>
        <w:t xml:space="preserve"> Equipe</w:t>
      </w:r>
    </w:p>
    <w:p w:rsidR="00390C8C" w:rsidRPr="009D7956" w:rsidRDefault="00390C8C" w:rsidP="00212108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/>
          <w:b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Stéphane LIPP, 37 ans (et son équipe de 4 professionnels – moy. 45 ans)</w:t>
      </w:r>
    </w:p>
    <w:p w:rsidR="00390C8C" w:rsidRPr="00D06EDC" w:rsidRDefault="00390C8C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D06EDC">
        <w:rPr>
          <w:rFonts w:ascii="Times New Roman" w:eastAsia="SimSun" w:hAnsi="Times New Roman"/>
          <w:sz w:val="20"/>
          <w:szCs w:val="20"/>
          <w:lang w:eastAsia="zh-CN"/>
        </w:rPr>
        <w:t>CNAM droit des affaires, MBA Corporate Finance - FordhamUniversity (NY, USA)</w:t>
      </w:r>
    </w:p>
    <w:p w:rsidR="00390C8C" w:rsidRPr="00D06EDC" w:rsidRDefault="00390C8C" w:rsidP="00655FBD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right="24" w:hanging="142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D06EDC">
        <w:rPr>
          <w:rFonts w:ascii="Times New Roman" w:eastAsia="SimSun" w:hAnsi="Times New Roman"/>
          <w:sz w:val="20"/>
          <w:szCs w:val="20"/>
          <w:lang w:eastAsia="zh-CN"/>
        </w:rPr>
        <w:t>Expérience approfondie des métiers de l’immobilier d’entreprises (Financière Norbert Dentres</w:t>
      </w:r>
      <w:r>
        <w:rPr>
          <w:rFonts w:ascii="Times New Roman" w:eastAsia="SimSun" w:hAnsi="Times New Roman"/>
          <w:sz w:val="20"/>
          <w:szCs w:val="20"/>
          <w:lang w:eastAsia="zh-CN"/>
        </w:rPr>
        <w:t>s</w:t>
      </w:r>
      <w:r w:rsidRPr="00D06EDC">
        <w:rPr>
          <w:rFonts w:ascii="Times New Roman" w:eastAsia="SimSun" w:hAnsi="Times New Roman"/>
          <w:sz w:val="20"/>
          <w:szCs w:val="20"/>
          <w:lang w:eastAsia="zh-CN"/>
        </w:rPr>
        <w:t>angle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, DTZ </w:t>
      </w:r>
      <w:r w:rsidRPr="00D06EDC">
        <w:rPr>
          <w:rFonts w:ascii="Times New Roman" w:eastAsia="SimSun" w:hAnsi="Times New Roman"/>
          <w:sz w:val="20"/>
          <w:szCs w:val="20"/>
          <w:lang w:eastAsia="zh-CN"/>
        </w:rPr>
        <w:t>Thouard, Wal*Mart, …)</w:t>
      </w:r>
    </w:p>
    <w:p w:rsidR="00390C8C" w:rsidRPr="00D06EDC" w:rsidRDefault="00390C8C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Entrepreneur</w:t>
      </w:r>
      <w:r w:rsidRPr="00D06EDC">
        <w:rPr>
          <w:rFonts w:ascii="Times New Roman" w:eastAsia="SimSun" w:hAnsi="Times New Roman"/>
          <w:sz w:val="20"/>
          <w:szCs w:val="20"/>
          <w:lang w:eastAsia="zh-CN"/>
        </w:rPr>
        <w:t xml:space="preserve"> et investisseur en immobilier d’entreprises</w:t>
      </w:r>
    </w:p>
    <w:p w:rsidR="00390C8C" w:rsidRDefault="00390C8C" w:rsidP="00BB35D6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390C8C" w:rsidRDefault="00390C8C" w:rsidP="00BB35D6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390C8C" w:rsidRPr="00F773D5" w:rsidRDefault="00390C8C" w:rsidP="00F773D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/>
          <w:b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sz w:val="20"/>
          <w:szCs w:val="20"/>
          <w:lang w:eastAsia="zh-CN"/>
        </w:rPr>
        <w:t>3-</w:t>
      </w:r>
      <w:r w:rsidRPr="00F773D5">
        <w:rPr>
          <w:rFonts w:ascii="Times New Roman" w:eastAsia="SimSun" w:hAnsi="Times New Roman"/>
          <w:b/>
          <w:sz w:val="20"/>
          <w:szCs w:val="20"/>
          <w:lang w:eastAsia="zh-CN"/>
        </w:rPr>
        <w:t xml:space="preserve"> Paramètres d’exploitation de la foncière</w:t>
      </w:r>
    </w:p>
    <w:p w:rsidR="00390C8C" w:rsidRDefault="00390C8C" w:rsidP="00212108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CIBLE</w:t>
      </w:r>
    </w:p>
    <w:p w:rsidR="00390C8C" w:rsidRDefault="00390C8C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Immobilier « non-prime » à destination des PME-PMI</w:t>
      </w:r>
    </w:p>
    <w:p w:rsidR="00390C8C" w:rsidRDefault="00390C8C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Acquisitions par externalisation auprès des PME-PMI (besoin structurel) et par reprise de portefeuilles</w:t>
      </w:r>
    </w:p>
    <w:p w:rsidR="00390C8C" w:rsidRPr="00D06EDC" w:rsidRDefault="00390C8C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Diversification par secteurs, type d’actifs et géographie</w:t>
      </w:r>
    </w:p>
    <w:p w:rsidR="00390C8C" w:rsidRDefault="00BA3AE6" w:rsidP="00212108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noProof/>
          <w:lang w:eastAsia="fr-FR"/>
        </w:rPr>
        <w:drawing>
          <wp:anchor distT="176784" distB="366141" distL="1449324" distR="257937" simplePos="0" relativeHeight="251658240" behindDoc="0" locked="0" layoutInCell="1" allowOverlap="1">
            <wp:simplePos x="0" y="0"/>
            <wp:positionH relativeFrom="column">
              <wp:posOffset>3868420</wp:posOffset>
            </wp:positionH>
            <wp:positionV relativeFrom="paragraph">
              <wp:posOffset>350520</wp:posOffset>
            </wp:positionV>
            <wp:extent cx="3102610" cy="2286000"/>
            <wp:effectExtent l="0" t="0" r="0" b="0"/>
            <wp:wrapNone/>
            <wp:docPr id="2" name="Obje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390C8C" w:rsidRDefault="00390C8C" w:rsidP="00212108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MANAGEMENT &amp; PROJECTIONS</w:t>
      </w:r>
    </w:p>
    <w:p w:rsidR="00390C8C" w:rsidRDefault="00390C8C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D06EDC">
        <w:rPr>
          <w:rFonts w:ascii="Times New Roman" w:eastAsia="SimSun" w:hAnsi="Times New Roman"/>
          <w:sz w:val="20"/>
          <w:szCs w:val="20"/>
          <w:lang w:eastAsia="zh-CN"/>
        </w:rPr>
        <w:t>Rentabilité locative brute </w:t>
      </w:r>
      <w:r>
        <w:rPr>
          <w:rFonts w:ascii="Times New Roman" w:eastAsia="SimSun" w:hAnsi="Times New Roman"/>
          <w:sz w:val="20"/>
          <w:szCs w:val="20"/>
          <w:lang w:eastAsia="zh-CN"/>
        </w:rPr>
        <w:t>moyenne</w:t>
      </w:r>
      <w:r w:rsidRPr="00D06EDC"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>10.35</w:t>
      </w:r>
      <w:r w:rsidRPr="00D06EDC">
        <w:rPr>
          <w:rFonts w:ascii="Times New Roman" w:eastAsia="SimSun" w:hAnsi="Times New Roman"/>
          <w:sz w:val="20"/>
          <w:szCs w:val="20"/>
          <w:lang w:eastAsia="zh-CN"/>
        </w:rPr>
        <w:t>%</w:t>
      </w:r>
    </w:p>
    <w:p w:rsidR="00390C8C" w:rsidRPr="00D06EDC" w:rsidRDefault="00390C8C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Objectif durée ferme des baux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  <w:t>10 ans</w:t>
      </w:r>
    </w:p>
    <w:p w:rsidR="00390C8C" w:rsidRDefault="00390C8C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Levier financier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  <w:t>50/50</w:t>
      </w:r>
    </w:p>
    <w:p w:rsidR="00390C8C" w:rsidRDefault="00390C8C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Investissement moyen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  <w:t>5.8M€</w:t>
      </w:r>
    </w:p>
    <w:p w:rsidR="00390C8C" w:rsidRPr="00D764A6" w:rsidRDefault="00390C8C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Revenus récurrents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  <w:t>&gt;95%</w:t>
      </w:r>
    </w:p>
    <w:p w:rsidR="00390C8C" w:rsidRDefault="00390C8C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Lieu d’intervention</w:t>
      </w:r>
      <w:r w:rsidRPr="00D06EDC">
        <w:rPr>
          <w:rFonts w:ascii="Times New Roman" w:eastAsia="SimSun" w:hAnsi="Times New Roman"/>
          <w:sz w:val="20"/>
          <w:szCs w:val="20"/>
          <w:lang w:eastAsia="zh-CN"/>
        </w:rPr>
        <w:tab/>
      </w:r>
      <w:r w:rsidRPr="00D06EDC">
        <w:rPr>
          <w:rFonts w:ascii="Times New Roman" w:eastAsia="SimSun" w:hAnsi="Times New Roman"/>
          <w:sz w:val="20"/>
          <w:szCs w:val="20"/>
          <w:lang w:eastAsia="zh-CN"/>
        </w:rPr>
        <w:tab/>
      </w:r>
      <w:r w:rsidRPr="00D06EDC"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>France, Belgique</w:t>
      </w:r>
    </w:p>
    <w:p w:rsidR="00390C8C" w:rsidRDefault="00390C8C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Nombre de m² détenus en A5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  <w:t>535 000m²</w:t>
      </w:r>
    </w:p>
    <w:p w:rsidR="00390C8C" w:rsidRDefault="00390C8C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Gouvernance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>●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 Direction Générale</w:t>
      </w:r>
    </w:p>
    <w:p w:rsidR="00390C8C" w:rsidRDefault="00390C8C" w:rsidP="00212108">
      <w:pPr>
        <w:spacing w:after="0" w:line="360" w:lineRule="auto"/>
        <w:ind w:left="2844" w:right="24" w:firstLine="69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●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 Comité d’Investissement</w:t>
      </w:r>
    </w:p>
    <w:p w:rsidR="00390C8C" w:rsidRPr="00D06EDC" w:rsidRDefault="00390C8C" w:rsidP="00212108">
      <w:pPr>
        <w:spacing w:after="0" w:line="360" w:lineRule="auto"/>
        <w:ind w:left="2844" w:right="24" w:firstLine="69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●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 Conseil d’Administration</w:t>
      </w:r>
    </w:p>
    <w:p w:rsidR="00390C8C" w:rsidRDefault="00390C8C" w:rsidP="00BB35D6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390C8C" w:rsidRDefault="00390C8C" w:rsidP="00BB35D6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390C8C" w:rsidRPr="00F773D5" w:rsidRDefault="00390C8C" w:rsidP="00F773D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/>
          <w:b/>
          <w:sz w:val="20"/>
          <w:szCs w:val="20"/>
          <w:lang w:eastAsia="zh-CN"/>
        </w:rPr>
      </w:pPr>
      <w:r w:rsidRPr="00F773D5">
        <w:rPr>
          <w:rFonts w:ascii="Times New Roman" w:eastAsia="SimSun" w:hAnsi="Times New Roman"/>
          <w:b/>
          <w:sz w:val="20"/>
          <w:szCs w:val="20"/>
          <w:lang w:eastAsia="zh-CN"/>
        </w:rPr>
        <w:t>4</w:t>
      </w:r>
      <w:r>
        <w:rPr>
          <w:rFonts w:ascii="Times New Roman" w:eastAsia="SimSun" w:hAnsi="Times New Roman"/>
          <w:b/>
          <w:sz w:val="20"/>
          <w:szCs w:val="20"/>
          <w:lang w:eastAsia="zh-CN"/>
        </w:rPr>
        <w:t xml:space="preserve">- </w:t>
      </w:r>
      <w:r w:rsidRPr="00F773D5">
        <w:rPr>
          <w:rFonts w:ascii="Times New Roman" w:eastAsia="SimSun" w:hAnsi="Times New Roman"/>
          <w:b/>
          <w:sz w:val="20"/>
          <w:szCs w:val="20"/>
          <w:lang w:eastAsia="zh-CN"/>
        </w:rPr>
        <w:t>Comptes de la foncière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617"/>
        <w:gridCol w:w="1618"/>
        <w:gridCol w:w="1617"/>
        <w:gridCol w:w="1618"/>
        <w:gridCol w:w="1618"/>
      </w:tblGrid>
      <w:tr w:rsidR="00390C8C" w:rsidRPr="00F16201" w:rsidTr="00F16201">
        <w:trPr>
          <w:trHeight w:val="560"/>
        </w:trPr>
        <w:tc>
          <w:tcPr>
            <w:tcW w:w="2518" w:type="dxa"/>
            <w:tcBorders>
              <w:top w:val="nil"/>
              <w:left w:val="nil"/>
              <w:right w:val="nil"/>
            </w:tcBorders>
            <w:vAlign w:val="bottom"/>
          </w:tcPr>
          <w:p w:rsidR="00390C8C" w:rsidRPr="00F16201" w:rsidRDefault="00390C8C" w:rsidP="00F16201">
            <w:pPr>
              <w:spacing w:after="0" w:line="360" w:lineRule="auto"/>
              <w:ind w:right="24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M€</w:t>
            </w:r>
          </w:p>
        </w:tc>
        <w:tc>
          <w:tcPr>
            <w:tcW w:w="1617" w:type="dxa"/>
            <w:tcBorders>
              <w:top w:val="nil"/>
              <w:left w:val="nil"/>
              <w:right w:val="nil"/>
            </w:tcBorders>
            <w:vAlign w:val="bottom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A1</w:t>
            </w: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  <w:vAlign w:val="bottom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A2</w:t>
            </w:r>
          </w:p>
        </w:tc>
        <w:tc>
          <w:tcPr>
            <w:tcW w:w="1617" w:type="dxa"/>
            <w:tcBorders>
              <w:top w:val="nil"/>
              <w:left w:val="nil"/>
              <w:right w:val="nil"/>
            </w:tcBorders>
            <w:vAlign w:val="bottom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A3</w:t>
            </w: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  <w:vAlign w:val="bottom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A4</w:t>
            </w: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  <w:vAlign w:val="bottom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A5</w:t>
            </w:r>
          </w:p>
        </w:tc>
      </w:tr>
      <w:tr w:rsidR="00390C8C" w:rsidRPr="00F16201" w:rsidTr="00F16201">
        <w:tc>
          <w:tcPr>
            <w:tcW w:w="2518" w:type="dxa"/>
          </w:tcPr>
          <w:p w:rsidR="00390C8C" w:rsidRPr="00F16201" w:rsidRDefault="00390C8C" w:rsidP="00F16201">
            <w:pPr>
              <w:spacing w:after="0" w:line="360" w:lineRule="auto"/>
              <w:ind w:right="24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Produits d’exploitation</w:t>
            </w:r>
          </w:p>
        </w:tc>
        <w:tc>
          <w:tcPr>
            <w:tcW w:w="1617" w:type="dxa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5.1</w:t>
            </w:r>
          </w:p>
        </w:tc>
        <w:tc>
          <w:tcPr>
            <w:tcW w:w="1618" w:type="dxa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17.3</w:t>
            </w:r>
          </w:p>
        </w:tc>
        <w:tc>
          <w:tcPr>
            <w:tcW w:w="1617" w:type="dxa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31.8</w:t>
            </w:r>
          </w:p>
        </w:tc>
        <w:tc>
          <w:tcPr>
            <w:tcW w:w="1618" w:type="dxa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45.7</w:t>
            </w:r>
          </w:p>
        </w:tc>
        <w:tc>
          <w:tcPr>
            <w:tcW w:w="1618" w:type="dxa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61.8</w:t>
            </w:r>
          </w:p>
        </w:tc>
      </w:tr>
      <w:tr w:rsidR="00390C8C" w:rsidRPr="00F16201" w:rsidTr="00F16201">
        <w:tc>
          <w:tcPr>
            <w:tcW w:w="2518" w:type="dxa"/>
          </w:tcPr>
          <w:p w:rsidR="00390C8C" w:rsidRPr="00F16201" w:rsidRDefault="00390C8C" w:rsidP="00F16201">
            <w:pPr>
              <w:spacing w:after="0" w:line="360" w:lineRule="auto"/>
              <w:ind w:right="24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EBITDA</w:t>
            </w:r>
          </w:p>
        </w:tc>
        <w:tc>
          <w:tcPr>
            <w:tcW w:w="1617" w:type="dxa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0.7</w:t>
            </w:r>
          </w:p>
        </w:tc>
        <w:tc>
          <w:tcPr>
            <w:tcW w:w="1618" w:type="dxa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12.9</w:t>
            </w:r>
          </w:p>
        </w:tc>
        <w:tc>
          <w:tcPr>
            <w:tcW w:w="1617" w:type="dxa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26.7</w:t>
            </w:r>
          </w:p>
        </w:tc>
        <w:tc>
          <w:tcPr>
            <w:tcW w:w="1618" w:type="dxa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40.1</w:t>
            </w:r>
          </w:p>
        </w:tc>
        <w:tc>
          <w:tcPr>
            <w:tcW w:w="1618" w:type="dxa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55.9</w:t>
            </w:r>
          </w:p>
        </w:tc>
      </w:tr>
      <w:tr w:rsidR="00390C8C" w:rsidRPr="00F16201" w:rsidTr="00F16201">
        <w:tc>
          <w:tcPr>
            <w:tcW w:w="2518" w:type="dxa"/>
          </w:tcPr>
          <w:p w:rsidR="00390C8C" w:rsidRPr="00F16201" w:rsidRDefault="00390C8C" w:rsidP="00F16201">
            <w:pPr>
              <w:spacing w:after="0" w:line="360" w:lineRule="auto"/>
              <w:ind w:right="24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Marge brute d’auto-financ.</w:t>
            </w:r>
          </w:p>
        </w:tc>
        <w:tc>
          <w:tcPr>
            <w:tcW w:w="1617" w:type="dxa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-1.0</w:t>
            </w:r>
          </w:p>
        </w:tc>
        <w:tc>
          <w:tcPr>
            <w:tcW w:w="1618" w:type="dxa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8.0</w:t>
            </w:r>
          </w:p>
        </w:tc>
        <w:tc>
          <w:tcPr>
            <w:tcW w:w="1617" w:type="dxa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18.7</w:t>
            </w:r>
          </w:p>
        </w:tc>
        <w:tc>
          <w:tcPr>
            <w:tcW w:w="1618" w:type="dxa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29.0</w:t>
            </w:r>
          </w:p>
        </w:tc>
        <w:tc>
          <w:tcPr>
            <w:tcW w:w="1618" w:type="dxa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40.4</w:t>
            </w:r>
          </w:p>
        </w:tc>
      </w:tr>
      <w:tr w:rsidR="00390C8C" w:rsidRPr="00F16201" w:rsidTr="00F16201">
        <w:tc>
          <w:tcPr>
            <w:tcW w:w="2518" w:type="dxa"/>
          </w:tcPr>
          <w:p w:rsidR="00390C8C" w:rsidRPr="00F16201" w:rsidRDefault="00390C8C" w:rsidP="00F16201">
            <w:pPr>
              <w:spacing w:after="0" w:line="360" w:lineRule="auto"/>
              <w:ind w:right="24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Dettes financières</w:t>
            </w:r>
          </w:p>
        </w:tc>
        <w:tc>
          <w:tcPr>
            <w:tcW w:w="1617" w:type="dxa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63.9</w:t>
            </w:r>
          </w:p>
        </w:tc>
        <w:tc>
          <w:tcPr>
            <w:tcW w:w="1618" w:type="dxa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117.6</w:t>
            </w:r>
          </w:p>
        </w:tc>
        <w:tc>
          <w:tcPr>
            <w:tcW w:w="1617" w:type="dxa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177.68</w:t>
            </w:r>
          </w:p>
        </w:tc>
        <w:tc>
          <w:tcPr>
            <w:tcW w:w="1618" w:type="dxa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235.7</w:t>
            </w:r>
          </w:p>
        </w:tc>
        <w:tc>
          <w:tcPr>
            <w:tcW w:w="1618" w:type="dxa"/>
          </w:tcPr>
          <w:p w:rsidR="00390C8C" w:rsidRPr="00F16201" w:rsidRDefault="00390C8C" w:rsidP="00F16201">
            <w:pPr>
              <w:spacing w:after="0" w:line="360" w:lineRule="auto"/>
              <w:ind w:right="24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62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293.1</w:t>
            </w:r>
          </w:p>
        </w:tc>
      </w:tr>
    </w:tbl>
    <w:p w:rsidR="00390C8C" w:rsidRDefault="00390C8C" w:rsidP="00BB35D6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390C8C" w:rsidRDefault="00390C8C" w:rsidP="00BB35D6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390C8C" w:rsidRPr="00F773D5" w:rsidRDefault="00390C8C" w:rsidP="00F773D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/>
          <w:b/>
          <w:sz w:val="20"/>
          <w:szCs w:val="20"/>
          <w:lang w:eastAsia="zh-CN"/>
        </w:rPr>
      </w:pPr>
      <w:r w:rsidRPr="00F773D5">
        <w:rPr>
          <w:rFonts w:ascii="Times New Roman" w:eastAsia="SimSun" w:hAnsi="Times New Roman"/>
          <w:b/>
          <w:sz w:val="20"/>
          <w:szCs w:val="20"/>
          <w:lang w:eastAsia="zh-CN"/>
        </w:rPr>
        <w:t>5</w:t>
      </w:r>
      <w:r>
        <w:rPr>
          <w:rFonts w:ascii="Times New Roman" w:eastAsia="SimSun" w:hAnsi="Times New Roman"/>
          <w:b/>
          <w:sz w:val="20"/>
          <w:szCs w:val="20"/>
          <w:lang w:eastAsia="zh-CN"/>
        </w:rPr>
        <w:t>- Paramètres financiers</w:t>
      </w:r>
    </w:p>
    <w:p w:rsidR="00390C8C" w:rsidRDefault="00390C8C" w:rsidP="00EC322F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 xml:space="preserve">Investissement en capital : </w:t>
      </w:r>
      <w:r w:rsidRPr="00EC322F">
        <w:rPr>
          <w:rFonts w:ascii="Times New Roman" w:eastAsia="SimSun" w:hAnsi="Times New Roman"/>
          <w:b/>
          <w:sz w:val="20"/>
          <w:szCs w:val="20"/>
          <w:lang w:eastAsia="zh-CN"/>
        </w:rPr>
        <w:t>264 M€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 libéré par tranches comme suit :</w:t>
      </w:r>
    </w:p>
    <w:p w:rsidR="00390C8C" w:rsidRDefault="00390C8C" w:rsidP="00D273A3">
      <w:pPr>
        <w:pStyle w:val="Paragraphedeliste"/>
        <w:numPr>
          <w:ilvl w:val="1"/>
          <w:numId w:val="1"/>
        </w:numPr>
        <w:tabs>
          <w:tab w:val="left" w:pos="2552"/>
        </w:tabs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 xml:space="preserve">Année 1 : 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>●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sz w:val="20"/>
          <w:szCs w:val="20"/>
          <w:lang w:eastAsia="zh-CN"/>
        </w:rPr>
        <w:t>Première tranche 450k€ au 1</w:t>
      </w:r>
      <w:r w:rsidRPr="00642D3A">
        <w:rPr>
          <w:rFonts w:ascii="Times New Roman" w:eastAsia="SimSun" w:hAnsi="Times New Roman"/>
          <w:sz w:val="20"/>
          <w:szCs w:val="20"/>
          <w:vertAlign w:val="superscript"/>
          <w:lang w:eastAsia="zh-CN"/>
        </w:rPr>
        <w:t>er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 janvier 2011</w:t>
      </w:r>
    </w:p>
    <w:p w:rsidR="00390C8C" w:rsidRDefault="00390C8C" w:rsidP="00D273A3">
      <w:pPr>
        <w:tabs>
          <w:tab w:val="left" w:pos="2552"/>
        </w:tabs>
        <w:spacing w:after="0" w:line="360" w:lineRule="auto"/>
        <w:ind w:left="2124"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>●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 w:rsidRPr="00D273A3">
        <w:rPr>
          <w:rFonts w:ascii="Times New Roman" w:eastAsia="SimSun" w:hAnsi="Times New Roman"/>
          <w:sz w:val="20"/>
          <w:szCs w:val="20"/>
          <w:lang w:eastAsia="zh-CN"/>
        </w:rPr>
        <w:t xml:space="preserve">Deuxième tranche </w:t>
      </w:r>
      <w:r>
        <w:rPr>
          <w:rFonts w:ascii="Times New Roman" w:eastAsia="SimSun" w:hAnsi="Times New Roman"/>
          <w:sz w:val="20"/>
          <w:szCs w:val="20"/>
          <w:lang w:eastAsia="zh-CN"/>
        </w:rPr>
        <w:t>0.6M</w:t>
      </w:r>
      <w:r w:rsidRPr="00D273A3">
        <w:rPr>
          <w:rFonts w:ascii="Times New Roman" w:eastAsia="SimSun" w:hAnsi="Times New Roman"/>
          <w:sz w:val="20"/>
          <w:szCs w:val="20"/>
          <w:lang w:eastAsia="zh-CN"/>
        </w:rPr>
        <w:t>€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 en mars 2011</w:t>
      </w:r>
    </w:p>
    <w:p w:rsidR="00390C8C" w:rsidRDefault="00390C8C" w:rsidP="00D273A3">
      <w:pPr>
        <w:tabs>
          <w:tab w:val="left" w:pos="2552"/>
        </w:tabs>
        <w:spacing w:after="0" w:line="360" w:lineRule="auto"/>
        <w:ind w:left="2124"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>●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  <w:t>Troisième tranche 25M€ en juillet 2011</w:t>
      </w:r>
    </w:p>
    <w:p w:rsidR="00390C8C" w:rsidRPr="00D273A3" w:rsidRDefault="00390C8C" w:rsidP="00D273A3">
      <w:pPr>
        <w:tabs>
          <w:tab w:val="left" w:pos="2552"/>
        </w:tabs>
        <w:spacing w:after="0" w:line="360" w:lineRule="auto"/>
        <w:ind w:left="2124"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>●</w:t>
      </w:r>
      <w:r>
        <w:rPr>
          <w:rFonts w:ascii="Times New Roman" w:eastAsia="SimSun" w:hAnsi="Times New Roman"/>
          <w:sz w:val="20"/>
          <w:szCs w:val="20"/>
          <w:lang w:eastAsia="zh-CN"/>
        </w:rPr>
        <w:tab/>
        <w:t>Total année 1 : 68M€</w:t>
      </w:r>
    </w:p>
    <w:p w:rsidR="00390C8C" w:rsidRDefault="00390C8C" w:rsidP="00D273A3">
      <w:pPr>
        <w:pStyle w:val="Paragraphedeliste"/>
        <w:numPr>
          <w:ilvl w:val="1"/>
          <w:numId w:val="1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Année 2 : 52.7M€</w:t>
      </w:r>
    </w:p>
    <w:p w:rsidR="00390C8C" w:rsidRDefault="00390C8C" w:rsidP="00D273A3">
      <w:pPr>
        <w:pStyle w:val="Paragraphedeliste"/>
        <w:numPr>
          <w:ilvl w:val="1"/>
          <w:numId w:val="1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Année 3 : 54.2M€</w:t>
      </w:r>
    </w:p>
    <w:p w:rsidR="00390C8C" w:rsidRDefault="00390C8C" w:rsidP="00D273A3">
      <w:pPr>
        <w:pStyle w:val="Paragraphedeliste"/>
        <w:numPr>
          <w:ilvl w:val="1"/>
          <w:numId w:val="1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Année 4 : 47.2M€</w:t>
      </w:r>
    </w:p>
    <w:p w:rsidR="00390C8C" w:rsidRPr="00D273A3" w:rsidRDefault="00390C8C" w:rsidP="00D273A3">
      <w:pPr>
        <w:pStyle w:val="Paragraphedeliste"/>
        <w:numPr>
          <w:ilvl w:val="1"/>
          <w:numId w:val="1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Année 5 : 41.4M€</w:t>
      </w:r>
    </w:p>
    <w:p w:rsidR="00390C8C" w:rsidRDefault="00390C8C" w:rsidP="00EC322F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Date de sortie : Après année 5</w:t>
      </w:r>
      <w:r w:rsidRPr="00EC322F">
        <w:rPr>
          <w:rFonts w:ascii="Times New Roman" w:eastAsia="SimSun" w:hAnsi="Times New Roman"/>
          <w:sz w:val="20"/>
          <w:szCs w:val="20"/>
          <w:lang w:eastAsia="zh-CN"/>
        </w:rPr>
        <w:t>par introduction en bourse</w:t>
      </w:r>
    </w:p>
    <w:p w:rsidR="00390C8C" w:rsidRPr="00AC0C88" w:rsidRDefault="00390C8C" w:rsidP="000F7180">
      <w:pPr>
        <w:pStyle w:val="Paragraphedeliste"/>
        <w:numPr>
          <w:ilvl w:val="1"/>
          <w:numId w:val="1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 xml:space="preserve">Valorisation moyenne </w:t>
      </w:r>
      <w:r w:rsidRPr="000F7180">
        <w:rPr>
          <w:rFonts w:ascii="Times New Roman" w:eastAsia="SimSun" w:hAnsi="Times New Roman"/>
          <w:b/>
          <w:sz w:val="20"/>
          <w:szCs w:val="20"/>
          <w:lang w:eastAsia="zh-CN"/>
        </w:rPr>
        <w:t>629M€</w:t>
      </w:r>
    </w:p>
    <w:p w:rsidR="00390C8C" w:rsidRPr="00AC0C88" w:rsidRDefault="00390C8C" w:rsidP="000F7180">
      <w:pPr>
        <w:pStyle w:val="Paragraphedeliste"/>
        <w:numPr>
          <w:ilvl w:val="1"/>
          <w:numId w:val="1"/>
        </w:num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AC0C88">
        <w:rPr>
          <w:rFonts w:ascii="Times New Roman" w:eastAsia="SimSun" w:hAnsi="Times New Roman"/>
          <w:sz w:val="20"/>
          <w:szCs w:val="20"/>
          <w:lang w:eastAsia="zh-CN"/>
        </w:rPr>
        <w:t>Positionnement unique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 dans l’univers de l’investissement immobilier</w:t>
      </w:r>
    </w:p>
    <w:p w:rsidR="00390C8C" w:rsidRPr="00EC322F" w:rsidRDefault="00390C8C" w:rsidP="00EC322F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/>
          <w:b/>
          <w:sz w:val="20"/>
          <w:szCs w:val="20"/>
          <w:lang w:eastAsia="zh-CN"/>
        </w:rPr>
      </w:pPr>
      <w:r w:rsidRPr="00EC322F">
        <w:rPr>
          <w:rFonts w:ascii="Times New Roman" w:eastAsia="SimSun" w:hAnsi="Times New Roman"/>
          <w:b/>
          <w:sz w:val="20"/>
          <w:szCs w:val="20"/>
          <w:lang w:eastAsia="zh-CN"/>
        </w:rPr>
        <w:t>TRI : 28,5%</w:t>
      </w:r>
    </w:p>
    <w:p w:rsidR="00390C8C" w:rsidRPr="00EC322F" w:rsidRDefault="00390C8C" w:rsidP="00EC322F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Management actionnaire</w:t>
      </w:r>
    </w:p>
    <w:p w:rsidR="00390C8C" w:rsidRDefault="00390C8C" w:rsidP="00212108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390C8C" w:rsidRPr="00212108" w:rsidRDefault="00390C8C" w:rsidP="00212108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390C8C" w:rsidRPr="00F773D5" w:rsidRDefault="00390C8C" w:rsidP="00F773D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/>
          <w:b/>
          <w:sz w:val="20"/>
          <w:szCs w:val="20"/>
          <w:lang w:eastAsia="zh-CN"/>
        </w:rPr>
      </w:pPr>
      <w:r w:rsidRPr="00F773D5">
        <w:rPr>
          <w:rFonts w:ascii="Times New Roman" w:eastAsia="SimSun" w:hAnsi="Times New Roman"/>
          <w:b/>
          <w:sz w:val="20"/>
          <w:szCs w:val="20"/>
          <w:lang w:eastAsia="zh-CN"/>
        </w:rPr>
        <w:t>6</w:t>
      </w:r>
      <w:r>
        <w:rPr>
          <w:rFonts w:ascii="Times New Roman" w:eastAsia="SimSun" w:hAnsi="Times New Roman"/>
          <w:b/>
          <w:sz w:val="20"/>
          <w:szCs w:val="20"/>
          <w:lang w:eastAsia="zh-CN"/>
        </w:rPr>
        <w:t>- A</w:t>
      </w:r>
      <w:r w:rsidRPr="00F773D5">
        <w:rPr>
          <w:rFonts w:ascii="Times New Roman" w:eastAsia="SimSun" w:hAnsi="Times New Roman"/>
          <w:b/>
          <w:sz w:val="20"/>
          <w:szCs w:val="20"/>
          <w:lang w:eastAsia="zh-CN"/>
        </w:rPr>
        <w:t>vancement du projet</w:t>
      </w:r>
    </w:p>
    <w:p w:rsidR="00390C8C" w:rsidRDefault="00390C8C" w:rsidP="008371AE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Les 3 premières acquisitions sont sous promesse pour un prix total de 60M€</w:t>
      </w:r>
    </w:p>
    <w:p w:rsidR="00390C8C" w:rsidRDefault="00390C8C" w:rsidP="002F4E32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390C8C" w:rsidRDefault="00390C8C" w:rsidP="002F4E32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390C8C" w:rsidRDefault="00390C8C" w:rsidP="002F4E32">
      <w:pPr>
        <w:pBdr>
          <w:bottom w:val="single" w:sz="12" w:space="1" w:color="auto"/>
        </w:pBd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Fait à Paris le 10 octobre 2010</w:t>
      </w:r>
    </w:p>
    <w:p w:rsidR="00390C8C" w:rsidRPr="00F946DB" w:rsidRDefault="00390C8C" w:rsidP="002F4E32">
      <w:pPr>
        <w:spacing w:after="0" w:line="360" w:lineRule="auto"/>
        <w:ind w:right="24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sectPr w:rsidR="00390C8C" w:rsidRPr="00F946DB" w:rsidSect="00676FC7">
      <w:footerReference w:type="default" r:id="rId8"/>
      <w:pgSz w:w="11906" w:h="16838"/>
      <w:pgMar w:top="720" w:right="720" w:bottom="720" w:left="720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003" w:rsidRDefault="00B04003" w:rsidP="00D06EDC">
      <w:pPr>
        <w:spacing w:after="0" w:line="240" w:lineRule="auto"/>
      </w:pPr>
      <w:r>
        <w:separator/>
      </w:r>
    </w:p>
  </w:endnote>
  <w:endnote w:type="continuationSeparator" w:id="0">
    <w:p w:rsidR="00B04003" w:rsidRDefault="00B04003" w:rsidP="00D0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8C" w:rsidRDefault="005E1924">
    <w:pPr>
      <w:pStyle w:val="Pieddepage"/>
      <w:jc w:val="right"/>
    </w:pPr>
    <w:fldSimple w:instr="PAGE   \* MERGEFORMAT">
      <w:r w:rsidR="00BA3AE6">
        <w:rPr>
          <w:noProof/>
        </w:rPr>
        <w:t>1</w:t>
      </w:r>
    </w:fldSimple>
  </w:p>
  <w:p w:rsidR="00390C8C" w:rsidRDefault="00390C8C" w:rsidP="00CA7E79">
    <w:pPr>
      <w:pStyle w:val="Pieddepage"/>
      <w:tabs>
        <w:tab w:val="clear" w:pos="9072"/>
        <w:tab w:val="right" w:pos="104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003" w:rsidRDefault="00B04003" w:rsidP="00D06EDC">
      <w:pPr>
        <w:spacing w:after="0" w:line="240" w:lineRule="auto"/>
      </w:pPr>
      <w:r>
        <w:separator/>
      </w:r>
    </w:p>
  </w:footnote>
  <w:footnote w:type="continuationSeparator" w:id="0">
    <w:p w:rsidR="00B04003" w:rsidRDefault="00B04003" w:rsidP="00D0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C25EC"/>
    <w:multiLevelType w:val="hybridMultilevel"/>
    <w:tmpl w:val="B2EC96F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1C467E"/>
    <w:multiLevelType w:val="hybridMultilevel"/>
    <w:tmpl w:val="28DA9D92"/>
    <w:lvl w:ilvl="0" w:tplc="CE262A3E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7016CA"/>
    <w:multiLevelType w:val="hybridMultilevel"/>
    <w:tmpl w:val="481AA502"/>
    <w:lvl w:ilvl="0" w:tplc="CE262A3E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CFA"/>
    <w:rsid w:val="00016016"/>
    <w:rsid w:val="0006177F"/>
    <w:rsid w:val="000A00C5"/>
    <w:rsid w:val="000F7180"/>
    <w:rsid w:val="00112AD2"/>
    <w:rsid w:val="00144859"/>
    <w:rsid w:val="001964B2"/>
    <w:rsid w:val="001A5B76"/>
    <w:rsid w:val="00212108"/>
    <w:rsid w:val="002127C7"/>
    <w:rsid w:val="0022136C"/>
    <w:rsid w:val="00252094"/>
    <w:rsid w:val="00290855"/>
    <w:rsid w:val="00292C2C"/>
    <w:rsid w:val="002A4ACA"/>
    <w:rsid w:val="002A6312"/>
    <w:rsid w:val="002D15FD"/>
    <w:rsid w:val="002F4E32"/>
    <w:rsid w:val="00343145"/>
    <w:rsid w:val="003575B0"/>
    <w:rsid w:val="00390C8C"/>
    <w:rsid w:val="003E57F3"/>
    <w:rsid w:val="00420E04"/>
    <w:rsid w:val="004544DC"/>
    <w:rsid w:val="00470D64"/>
    <w:rsid w:val="00492F0D"/>
    <w:rsid w:val="004D119F"/>
    <w:rsid w:val="004F370F"/>
    <w:rsid w:val="004F5001"/>
    <w:rsid w:val="00545BFA"/>
    <w:rsid w:val="005E1924"/>
    <w:rsid w:val="005E407C"/>
    <w:rsid w:val="00642D3A"/>
    <w:rsid w:val="00655FBD"/>
    <w:rsid w:val="006641CF"/>
    <w:rsid w:val="00676FC7"/>
    <w:rsid w:val="006A219E"/>
    <w:rsid w:val="006B34E2"/>
    <w:rsid w:val="006C5B31"/>
    <w:rsid w:val="00700A92"/>
    <w:rsid w:val="00784A55"/>
    <w:rsid w:val="007F42FF"/>
    <w:rsid w:val="008371AE"/>
    <w:rsid w:val="00843908"/>
    <w:rsid w:val="00892B35"/>
    <w:rsid w:val="008E0425"/>
    <w:rsid w:val="00934AB1"/>
    <w:rsid w:val="0096001E"/>
    <w:rsid w:val="009935B9"/>
    <w:rsid w:val="009A2E94"/>
    <w:rsid w:val="009D5289"/>
    <w:rsid w:val="009D566F"/>
    <w:rsid w:val="009D7956"/>
    <w:rsid w:val="009E0347"/>
    <w:rsid w:val="00A02D03"/>
    <w:rsid w:val="00A20EF0"/>
    <w:rsid w:val="00A231C0"/>
    <w:rsid w:val="00A913F5"/>
    <w:rsid w:val="00AC0C88"/>
    <w:rsid w:val="00AD6B60"/>
    <w:rsid w:val="00B04003"/>
    <w:rsid w:val="00B17516"/>
    <w:rsid w:val="00B30358"/>
    <w:rsid w:val="00BA0E62"/>
    <w:rsid w:val="00BA3AE6"/>
    <w:rsid w:val="00BA7476"/>
    <w:rsid w:val="00BB1D3F"/>
    <w:rsid w:val="00BB35D6"/>
    <w:rsid w:val="00C443D5"/>
    <w:rsid w:val="00CA7E79"/>
    <w:rsid w:val="00CC4B7F"/>
    <w:rsid w:val="00CE5CFA"/>
    <w:rsid w:val="00D06EDC"/>
    <w:rsid w:val="00D24BFC"/>
    <w:rsid w:val="00D2622F"/>
    <w:rsid w:val="00D273A3"/>
    <w:rsid w:val="00D35536"/>
    <w:rsid w:val="00D764A6"/>
    <w:rsid w:val="00D86EEB"/>
    <w:rsid w:val="00DD55A0"/>
    <w:rsid w:val="00DE7EFF"/>
    <w:rsid w:val="00E34CC7"/>
    <w:rsid w:val="00E5509C"/>
    <w:rsid w:val="00EC322F"/>
    <w:rsid w:val="00EE6219"/>
    <w:rsid w:val="00F16201"/>
    <w:rsid w:val="00F53675"/>
    <w:rsid w:val="00F773D5"/>
    <w:rsid w:val="00F946DB"/>
    <w:rsid w:val="00F9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7F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0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D06EDC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D0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06EDC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D0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06E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4F370F"/>
    <w:pPr>
      <w:ind w:left="720"/>
      <w:contextualSpacing/>
    </w:pPr>
  </w:style>
  <w:style w:type="table" w:styleId="Grilledutableau">
    <w:name w:val="Table Grid"/>
    <w:basedOn w:val="TableauNormal"/>
    <w:uiPriority w:val="99"/>
    <w:rsid w:val="00CC4B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9"/>
  <c:chart>
    <c:title>
      <c:tx>
        <c:rich>
          <a:bodyPr/>
          <a:lstStyle/>
          <a:p>
            <a:pPr>
              <a:defRPr/>
            </a:pPr>
            <a:r>
              <a:rPr lang="fr-FR"/>
              <a:t>Répartition cible des revenus par classe d'actifs</a:t>
            </a:r>
          </a:p>
        </c:rich>
      </c:tx>
      <c:layout>
        <c:manualLayout>
          <c:xMode val="edge"/>
          <c:yMode val="edge"/>
          <c:x val="0.30315150096683785"/>
          <c:y val="4.4934749010032297E-2"/>
        </c:manualLayout>
      </c:layout>
      <c:spPr>
        <a:noFill/>
        <a:ln w="14564">
          <a:noFill/>
        </a:ln>
      </c:spPr>
    </c:title>
    <c:plotArea>
      <c:layout>
        <c:manualLayout>
          <c:layoutTarget val="inner"/>
          <c:xMode val="edge"/>
          <c:yMode val="edge"/>
          <c:x val="0.3314543404735063"/>
          <c:y val="0.18137298314228895"/>
          <c:w val="0.33709131905298789"/>
          <c:h val="0.73284489134519515"/>
        </c:manualLayout>
      </c:layout>
      <c:doughnutChart>
        <c:varyColors val="1"/>
        <c:ser>
          <c:idx val="0"/>
          <c:order val="0"/>
          <c:dLbls>
            <c:dLbl>
              <c:idx val="0"/>
              <c:layout>
                <c:manualLayout>
                  <c:x val="4.4290588199982002E-2"/>
                  <c:y val="-0.10130924810869232"/>
                </c:manualLayout>
              </c:layout>
              <c:spPr>
                <a:noFill/>
                <a:ln w="14564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  <c:showVal val="1"/>
            </c:dLbl>
            <c:dLbl>
              <c:idx val="1"/>
              <c:layout>
                <c:manualLayout>
                  <c:x val="7.4779604264841815E-2"/>
                  <c:y val="6.6936853481550105E-3"/>
                </c:manualLayout>
              </c:layout>
              <c:spPr>
                <a:noFill/>
                <a:ln w="14564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  <c:showVal val="1"/>
            </c:dLbl>
            <c:dLbl>
              <c:idx val="2"/>
              <c:layout>
                <c:manualLayout>
                  <c:x val="6.8411022955040493E-2"/>
                  <c:y val="6.976223560290265E-2"/>
                </c:manualLayout>
              </c:layout>
              <c:spPr>
                <a:noFill/>
                <a:ln w="14564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  <c:showVal val="1"/>
            </c:dLbl>
            <c:dLbl>
              <c:idx val="3"/>
              <c:layout>
                <c:manualLayout>
                  <c:x val="-6.7960259732463585E-2"/>
                  <c:y val="7.8117698522978826E-2"/>
                </c:manualLayout>
              </c:layout>
              <c:spPr>
                <a:noFill/>
                <a:ln w="14564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  <c:showVal val="1"/>
            </c:dLbl>
            <c:dLbl>
              <c:idx val="4"/>
              <c:layout>
                <c:manualLayout>
                  <c:x val="-6.5587449599295689E-2"/>
                  <c:y val="3.476403684834114E-4"/>
                </c:manualLayout>
              </c:layout>
              <c:spPr>
                <a:noFill/>
                <a:ln w="14564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  <c:showVal val="1"/>
            </c:dLbl>
            <c:dLbl>
              <c:idx val="5"/>
              <c:layout>
                <c:manualLayout>
                  <c:x val="-7.0070002367874279E-2"/>
                  <c:y val="-7.9129226493747123E-2"/>
                </c:manualLayout>
              </c:layout>
              <c:spPr>
                <a:noFill/>
                <a:ln w="14564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  <c:showVal val="1"/>
            </c:dLbl>
            <c:spPr>
              <a:noFill/>
              <a:ln w="14564">
                <a:noFill/>
              </a:ln>
            </c:spPr>
            <c:showVal val="1"/>
          </c:dLbls>
          <c:cat>
            <c:strRef>
              <c:f>Portefeuille!$B$23:$G$23</c:f>
              <c:strCache>
                <c:ptCount val="6"/>
                <c:pt idx="0">
                  <c:v>Commerces</c:v>
                </c:pt>
                <c:pt idx="1">
                  <c:v>Bureaux province</c:v>
                </c:pt>
                <c:pt idx="2">
                  <c:v>Messagerie</c:v>
                </c:pt>
                <c:pt idx="3">
                  <c:v>Activités</c:v>
                </c:pt>
                <c:pt idx="4">
                  <c:v>Hotel</c:v>
                </c:pt>
                <c:pt idx="5">
                  <c:v>Locaux spécifiques</c:v>
                </c:pt>
              </c:strCache>
            </c:strRef>
          </c:cat>
          <c:val>
            <c:numRef>
              <c:f>Portefeuille!$B$24:$G$24</c:f>
              <c:numCache>
                <c:formatCode>0%</c:formatCode>
                <c:ptCount val="6"/>
                <c:pt idx="0">
                  <c:v>0.1</c:v>
                </c:pt>
                <c:pt idx="1">
                  <c:v>0.23</c:v>
                </c:pt>
                <c:pt idx="2">
                  <c:v>0.15000000000000005</c:v>
                </c:pt>
                <c:pt idx="3">
                  <c:v>0.25</c:v>
                </c:pt>
                <c:pt idx="4">
                  <c:v>5.0000000000000017E-2</c:v>
                </c:pt>
                <c:pt idx="5">
                  <c:v>0.22000000000000003</c:v>
                </c:pt>
              </c:numCache>
            </c:numRef>
          </c:val>
        </c:ser>
        <c:firstSliceAng val="0"/>
        <c:holeSize val="50"/>
      </c:doughnutChart>
      <c:spPr>
        <a:noFill/>
        <a:ln w="14564">
          <a:noFill/>
        </a:ln>
      </c:spPr>
    </c:plotArea>
    <c:legend>
      <c:legendPos val="r"/>
      <c:layout>
        <c:manualLayout>
          <c:xMode val="edge"/>
          <c:yMode val="edge"/>
          <c:x val="0.75374732334047156"/>
          <c:y val="0.22846441947565546"/>
          <c:w val="0.21627408993576025"/>
          <c:h val="0.7078651685393258"/>
        </c:manualLayout>
      </c:layout>
    </c:legend>
    <c:plotVisOnly val="1"/>
    <c:dispBlanksAs val="zero"/>
  </c:chart>
  <c:spPr>
    <a:noFill/>
    <a:ln>
      <a:noFill/>
    </a:ln>
  </c:spPr>
  <c:txPr>
    <a:bodyPr/>
    <a:lstStyle/>
    <a:p>
      <a:pPr>
        <a:defRPr sz="516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2205</Characters>
  <Application>Microsoft Office Word</Application>
  <DocSecurity>0</DocSecurity>
  <Lines>18</Lines>
  <Paragraphs>5</Paragraphs>
  <ScaleCrop>false</ScaleCrop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lipp</dc:creator>
  <cp:lastModifiedBy>evelyne</cp:lastModifiedBy>
  <cp:revision>2</cp:revision>
  <dcterms:created xsi:type="dcterms:W3CDTF">2010-10-18T15:24:00Z</dcterms:created>
  <dcterms:modified xsi:type="dcterms:W3CDTF">2010-10-18T15:24:00Z</dcterms:modified>
</cp:coreProperties>
</file>