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0B42FE">
      <w:r>
        <w:t>N jn ;bn,b,b,b</w:t>
      </w:r>
    </w:p>
    <w:p w:rsidR="000B42FE" w:rsidRDefault="000B42FE"/>
    <w:p w:rsidR="000B42FE" w:rsidRDefault="000B42FE"/>
    <w:p w:rsidR="000B42FE" w:rsidRDefault="000B42FE"/>
    <w:p w:rsidR="000B42FE" w:rsidRDefault="000B42FE"/>
    <w:p w:rsidR="000B42FE" w:rsidRDefault="000B42FE">
      <w:r>
        <w:t>Sfv</w:t>
      </w:r>
    </w:p>
    <w:p w:rsidR="000B42FE" w:rsidRDefault="000B42FE">
      <w:r>
        <w:t>Fv</w:t>
      </w:r>
    </w:p>
    <w:p w:rsidR="000B42FE" w:rsidRDefault="000B42FE">
      <w:r>
        <w:t>Fv</w:t>
      </w:r>
    </w:p>
    <w:p w:rsidR="000B42FE" w:rsidRDefault="000B42FE"/>
    <w:p w:rsidR="000B42FE" w:rsidRDefault="000B42FE">
      <w:r>
        <w:t>v</w:t>
      </w:r>
    </w:p>
    <w:p w:rsidR="000B42FE" w:rsidRDefault="000B42FE">
      <w:r>
        <w:br w:type="page"/>
      </w:r>
    </w:p>
    <w:p w:rsidR="000B42FE" w:rsidRDefault="000B42FE"/>
    <w:sectPr w:rsidR="000B42FE" w:rsidSect="000B4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3E" w:rsidRDefault="009C043E" w:rsidP="000B42FE">
      <w:pPr>
        <w:spacing w:after="0" w:line="240" w:lineRule="auto"/>
      </w:pPr>
      <w:r>
        <w:separator/>
      </w:r>
    </w:p>
  </w:endnote>
  <w:endnote w:type="continuationSeparator" w:id="0">
    <w:p w:rsidR="009C043E" w:rsidRDefault="009C043E" w:rsidP="000B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E" w:rsidRDefault="000B42F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E" w:rsidRDefault="000B42F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E" w:rsidRDefault="000B42FE">
    <w:pPr>
      <w:pStyle w:val="Pieddepage"/>
      <w:ind w:left="2832" w:right="360"/>
      <w:jc w:val="center"/>
      <w:rPr>
        <w:rFonts w:ascii="Helvetica" w:hAnsi="Helvetica"/>
        <w:color w:val="808080"/>
        <w:sz w:val="16"/>
        <w:szCs w:val="16"/>
      </w:rPr>
    </w:pPr>
    <w:r w:rsidRPr="002F70BC">
      <w:rPr>
        <w:rFonts w:ascii="Times New Roman" w:hAnsi="Times New Roman"/>
        <w:noProof/>
        <w:color w:val="80808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81pt;margin-top:-89.3pt;width:217.5pt;height:162pt;z-index:-251654144">
          <v:imagedata r:id="rId1" o:title=""/>
        </v:shape>
      </w:pict>
    </w: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Finance au capital de 10 000 €  - </w:t>
    </w:r>
    <w:r>
      <w:rPr>
        <w:rFonts w:ascii="Helvetica" w:hAnsi="Helvetica"/>
        <w:noProof/>
        <w:color w:val="808080"/>
        <w:sz w:val="16"/>
        <w:szCs w:val="16"/>
      </w:rPr>
      <w:t>Groupe Arkanissim Finance</w:t>
    </w:r>
  </w:p>
  <w:p w:rsidR="000B42FE" w:rsidRDefault="000B42FE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54 - </w:t>
    </w:r>
    <w:hyperlink r:id="rId2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0B42FE" w:rsidRPr="000B42FE" w:rsidRDefault="000B42FE" w:rsidP="000B42FE">
    <w:pPr>
      <w:pStyle w:val="Pieddepage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RCS Créteil 498 837 939 00012  – APE 741 G – N° TVA FR  60 498 837 939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3E" w:rsidRDefault="009C043E" w:rsidP="000B42FE">
      <w:pPr>
        <w:spacing w:after="0" w:line="240" w:lineRule="auto"/>
      </w:pPr>
      <w:r>
        <w:separator/>
      </w:r>
    </w:p>
  </w:footnote>
  <w:footnote w:type="continuationSeparator" w:id="0">
    <w:p w:rsidR="009C043E" w:rsidRDefault="009C043E" w:rsidP="000B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E" w:rsidRDefault="000B42F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E" w:rsidRDefault="000B42FE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2F70BC">
      <w:rPr>
        <w:rFonts w:cs="Times New Roman"/>
        <w:noProof/>
        <w:sz w:val="3276"/>
        <w:szCs w:val="327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25pt;margin-top:-35.15pt;width:240.45pt;height:112.4pt;z-index:-251656192" o:allowoverlap="f">
          <v:imagedata r:id="rId1" o:title=""/>
        </v:shape>
      </w:pic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Stratégies de croissance</w: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Team Alignment</w: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Cession/Acquisition</w: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Organisation Financière</w:t>
    </w: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br/>
    </w:r>
  </w:p>
  <w:p w:rsidR="000B42FE" w:rsidRDefault="000B42F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E" w:rsidRDefault="000B42FE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2F70BC">
      <w:rPr>
        <w:rFonts w:cs="Times New Roman"/>
        <w:noProof/>
        <w:sz w:val="3276"/>
        <w:szCs w:val="327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3.25pt;margin-top:-35.15pt;width:240.45pt;height:112.4pt;z-index:-251658240" o:allowoverlap="f">
          <v:imagedata r:id="rId1" o:title=""/>
        </v:shape>
      </w:pic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Stratégies de croissance</w: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Team Alignment</w:t>
    </w:r>
  </w:p>
  <w:p w:rsid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Cession/Acquisition</w:t>
    </w:r>
  </w:p>
  <w:p w:rsidR="000B42FE" w:rsidRPr="000B42FE" w:rsidRDefault="000B42FE" w:rsidP="000B42FE">
    <w:pPr>
      <w:autoSpaceDE w:val="0"/>
      <w:autoSpaceDN w:val="0"/>
      <w:adjustRightInd w:val="0"/>
      <w:spacing w:after="0"/>
      <w:ind w:left="3780"/>
      <w:jc w:val="right"/>
      <w:rPr>
        <w:rFonts w:ascii="Verdana" w:hAnsi="Verdana" w:cs="HelveticaNeue-Roman"/>
        <w:b/>
        <w:bCs/>
        <w:i/>
        <w:iCs/>
        <w:color w:val="333399"/>
        <w:sz w:val="20"/>
        <w:szCs w:val="20"/>
      </w:rPr>
    </w:pPr>
    <w:r>
      <w:rPr>
        <w:rFonts w:ascii="Verdana" w:hAnsi="Verdana" w:cs="HelveticaNeue-Roman"/>
        <w:b/>
        <w:bCs/>
        <w:i/>
        <w:iCs/>
        <w:color w:val="333399"/>
        <w:sz w:val="20"/>
        <w:szCs w:val="20"/>
      </w:rPr>
      <w:t>Organisation Financière</w:t>
    </w:r>
  </w:p>
  <w:p w:rsidR="000B42FE" w:rsidRDefault="000B42FE">
    <w:pPr>
      <w:pStyle w:val="En-tte"/>
    </w:pP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 w:rsidRPr="000B42FE">
      <w:rPr>
        <w:rFonts w:ascii="HelveticaNeue LightExt" w:eastAsiaTheme="majorEastAsia" w:hAnsi="HelveticaNeue LightExt"/>
        <w:sz w:val="16"/>
        <w:szCs w:val="16"/>
      </w:rPr>
      <w:t>www.arkanis.fr</w:t>
    </w:r>
  </w:p>
  <w:p w:rsidR="000B42FE" w:rsidRDefault="000B42F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42FE"/>
    <w:rsid w:val="000B42FE"/>
    <w:rsid w:val="009C043E"/>
    <w:rsid w:val="00BA23A4"/>
    <w:rsid w:val="00C32BBC"/>
    <w:rsid w:val="00C604ED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2FE"/>
  </w:style>
  <w:style w:type="paragraph" w:styleId="Pieddepage">
    <w:name w:val="footer"/>
    <w:basedOn w:val="Normal"/>
    <w:link w:val="PieddepageCar"/>
    <w:unhideWhenUsed/>
    <w:rsid w:val="000B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B42FE"/>
  </w:style>
  <w:style w:type="character" w:styleId="Lienhypertexte">
    <w:name w:val="Hyperlink"/>
    <w:basedOn w:val="Policepardfaut"/>
    <w:rsid w:val="000B4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kanissim.f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427D-7508-45A0-8759-0AB8299D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2010-09-20T06:00:00Z</dcterms:created>
  <dcterms:modified xsi:type="dcterms:W3CDTF">2010-09-20T09:55:00Z</dcterms:modified>
</cp:coreProperties>
</file>