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182"/>
      </w:tblGrid>
      <w:tr w:rsidR="002B1B8C" w:rsidRPr="002B1B8C">
        <w:trPr>
          <w:tblCellSpacing w:w="0" w:type="dxa"/>
        </w:trPr>
        <w:tc>
          <w:tcPr>
            <w:tcW w:w="0" w:type="auto"/>
            <w:vAlign w:val="center"/>
            <w:hideMark/>
          </w:tcPr>
          <w:tbl>
            <w:tblPr>
              <w:tblW w:w="5000" w:type="pct"/>
              <w:tblCellSpacing w:w="22" w:type="dxa"/>
              <w:tblCellMar>
                <w:left w:w="0" w:type="dxa"/>
                <w:right w:w="0" w:type="dxa"/>
              </w:tblCellMar>
              <w:tblLook w:val="04A0"/>
            </w:tblPr>
            <w:tblGrid>
              <w:gridCol w:w="4098"/>
              <w:gridCol w:w="84"/>
            </w:tblGrid>
            <w:tr w:rsidR="002B1B8C" w:rsidRPr="002B1B8C">
              <w:trPr>
                <w:gridAfter w:val="1"/>
                <w:tblCellSpacing w:w="22" w:type="dxa"/>
              </w:trPr>
              <w:tc>
                <w:tcPr>
                  <w:tcW w:w="0" w:type="auto"/>
                  <w:vAlign w:val="center"/>
                  <w:hideMark/>
                </w:tcPr>
                <w:p w:rsidR="002B1B8C" w:rsidRPr="002B1B8C" w:rsidRDefault="002B1B8C" w:rsidP="002B1B8C">
                  <w:pPr>
                    <w:spacing w:before="150" w:after="150" w:line="240" w:lineRule="auto"/>
                    <w:outlineLvl w:val="0"/>
                    <w:rPr>
                      <w:rFonts w:ascii="Arial" w:eastAsia="Times New Roman" w:hAnsi="Arial" w:cs="Arial"/>
                      <w:b/>
                      <w:bCs/>
                      <w:color w:val="454436"/>
                      <w:kern w:val="36"/>
                      <w:sz w:val="18"/>
                      <w:szCs w:val="18"/>
                      <w:lang w:eastAsia="fr-FR"/>
                    </w:rPr>
                  </w:pPr>
                  <w:r w:rsidRPr="002B1B8C">
                    <w:rPr>
                      <w:rFonts w:ascii="Arial" w:eastAsia="Times New Roman" w:hAnsi="Arial" w:cs="Arial"/>
                      <w:b/>
                      <w:bCs/>
                      <w:color w:val="333333"/>
                      <w:kern w:val="36"/>
                      <w:sz w:val="18"/>
                      <w:szCs w:val="18"/>
                      <w:lang w:eastAsia="fr-FR"/>
                    </w:rPr>
                    <w:t>L’intéressement</w:t>
                  </w:r>
                </w:p>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Fiche pratique</w:t>
                  </w:r>
                </w:p>
              </w:tc>
            </w:tr>
            <w:tr w:rsidR="002B1B8C" w:rsidRPr="002B1B8C">
              <w:trPr>
                <w:tblCellSpacing w:w="22"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 </w:t>
                  </w:r>
                </w:p>
              </w:tc>
              <w:tc>
                <w:tcPr>
                  <w:tcW w:w="0" w:type="auto"/>
                  <w:vAlign w:val="center"/>
                  <w:hideMark/>
                </w:tcPr>
                <w:p w:rsidR="002B1B8C" w:rsidRPr="002B1B8C" w:rsidRDefault="002B1B8C" w:rsidP="002B1B8C">
                  <w:pPr>
                    <w:spacing w:after="0" w:line="240" w:lineRule="auto"/>
                    <w:jc w:val="right"/>
                    <w:rPr>
                      <w:rFonts w:ascii="Arial" w:eastAsia="Times New Roman" w:hAnsi="Arial" w:cs="Arial"/>
                      <w:color w:val="333333"/>
                      <w:sz w:val="18"/>
                      <w:szCs w:val="18"/>
                      <w:lang w:eastAsia="fr-FR"/>
                    </w:rPr>
                  </w:pPr>
                </w:p>
              </w:tc>
            </w:tr>
          </w:tbl>
          <w:p w:rsidR="002B1B8C" w:rsidRPr="002B1B8C" w:rsidRDefault="002B1B8C" w:rsidP="002B1B8C">
            <w:pPr>
              <w:spacing w:after="0" w:line="240" w:lineRule="auto"/>
              <w:rPr>
                <w:rFonts w:ascii="Arial" w:eastAsia="Times New Roman" w:hAnsi="Arial" w:cs="Arial"/>
                <w:color w:val="333333"/>
                <w:sz w:val="18"/>
                <w:szCs w:val="18"/>
                <w:lang w:eastAsia="fr-FR"/>
              </w:rPr>
            </w:pPr>
          </w:p>
        </w:tc>
      </w:tr>
      <w:tr w:rsidR="002B1B8C" w:rsidRPr="002B1B8C">
        <w:trPr>
          <w:tblCellSpacing w:w="0"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noProof/>
                <w:color w:val="333333"/>
                <w:sz w:val="18"/>
                <w:szCs w:val="18"/>
                <w:lang w:eastAsia="fr-FR"/>
              </w:rPr>
              <w:drawing>
                <wp:inline distT="0" distB="0" distL="0" distR="0">
                  <wp:extent cx="7620000" cy="47625"/>
                  <wp:effectExtent l="19050" t="0" r="0" b="0"/>
                  <wp:docPr id="1" name="Image 1" descr="http://www.linternaute.com/pratique/image/commun/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pratique/image/commun/pointilles.png"/>
                          <pic:cNvPicPr>
                            <a:picLocks noChangeAspect="1" noChangeArrowheads="1"/>
                          </pic:cNvPicPr>
                        </pic:nvPicPr>
                        <pic:blipFill>
                          <a:blip r:embed="rId4" cstate="print"/>
                          <a:srcRect/>
                          <a:stretch>
                            <a:fillRect/>
                          </a:stretch>
                        </pic:blipFill>
                        <pic:spPr bwMode="auto">
                          <a:xfrm>
                            <a:off x="0" y="0"/>
                            <a:ext cx="7620000" cy="47625"/>
                          </a:xfrm>
                          <a:prstGeom prst="rect">
                            <a:avLst/>
                          </a:prstGeom>
                          <a:noFill/>
                          <a:ln w="9525">
                            <a:noFill/>
                            <a:miter lim="800000"/>
                            <a:headEnd/>
                            <a:tailEnd/>
                          </a:ln>
                        </pic:spPr>
                      </pic:pic>
                    </a:graphicData>
                  </a:graphic>
                </wp:inline>
              </w:drawing>
            </w:r>
          </w:p>
        </w:tc>
      </w:tr>
      <w:tr w:rsidR="002B1B8C" w:rsidRPr="002B1B8C">
        <w:trPr>
          <w:tblCellSpacing w:w="0" w:type="dxa"/>
        </w:trPr>
        <w:tc>
          <w:tcPr>
            <w:tcW w:w="0" w:type="auto"/>
            <w:vAlign w:val="center"/>
            <w:hideMark/>
          </w:tcPr>
          <w:p w:rsidR="002B1B8C" w:rsidRPr="002B1B8C" w:rsidRDefault="002B1B8C" w:rsidP="002B1B8C">
            <w:pPr>
              <w:spacing w:after="150" w:line="240" w:lineRule="auto"/>
              <w:rPr>
                <w:rFonts w:ascii="Arial" w:eastAsia="Times New Roman" w:hAnsi="Arial" w:cs="Arial"/>
                <w:b/>
                <w:bCs/>
                <w:color w:val="666666"/>
                <w:sz w:val="18"/>
                <w:szCs w:val="18"/>
                <w:lang w:eastAsia="fr-FR"/>
              </w:rPr>
            </w:pPr>
            <w:r w:rsidRPr="002B1B8C">
              <w:rPr>
                <w:rFonts w:ascii="Arial" w:eastAsia="Times New Roman" w:hAnsi="Arial" w:cs="Arial"/>
                <w:b/>
                <w:bCs/>
                <w:color w:val="666666"/>
                <w:sz w:val="18"/>
                <w:szCs w:val="18"/>
                <w:lang w:eastAsia="fr-FR"/>
              </w:rPr>
              <w:t>L’intéressement est une mesure qui vise à associer les salariés aux résultats ou performances de l’entreprise, en leur versant une prime. Ce procédé, facultatif, peut être mis en place dans toutes les entreprises, et concerne tous les salariés.</w:t>
            </w:r>
          </w:p>
        </w:tc>
      </w:tr>
      <w:tr w:rsidR="002B1B8C" w:rsidRPr="002B1B8C">
        <w:trPr>
          <w:tblCellSpacing w:w="0"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 </w:t>
            </w:r>
          </w:p>
        </w:tc>
      </w:tr>
      <w:tr w:rsidR="002B1B8C" w:rsidRPr="002B1B8C">
        <w:trPr>
          <w:tblCellSpacing w:w="0"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 </w:t>
            </w:r>
          </w:p>
        </w:tc>
      </w:tr>
      <w:tr w:rsidR="002B1B8C" w:rsidRPr="002B1B8C">
        <w:trPr>
          <w:tblCellSpacing w:w="0" w:type="dxa"/>
        </w:trPr>
        <w:tc>
          <w:tcPr>
            <w:tcW w:w="0" w:type="auto"/>
            <w:vAlign w:val="center"/>
            <w:hideMark/>
          </w:tcPr>
          <w:p w:rsidR="002B1B8C" w:rsidRPr="002B1B8C" w:rsidRDefault="002B1B8C" w:rsidP="002B1B8C">
            <w:pPr>
              <w:spacing w:after="0" w:line="240" w:lineRule="auto"/>
              <w:jc w:val="right"/>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Dernière mise à jour : décembre 2010</w:t>
            </w:r>
          </w:p>
        </w:tc>
      </w:tr>
      <w:tr w:rsidR="002B1B8C" w:rsidRPr="002B1B8C">
        <w:trPr>
          <w:tblCellSpacing w:w="0"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color w:val="333333"/>
                <w:sz w:val="18"/>
                <w:szCs w:val="18"/>
                <w:lang w:eastAsia="fr-FR"/>
              </w:rPr>
              <w:t> </w:t>
            </w:r>
          </w:p>
        </w:tc>
      </w:tr>
      <w:tr w:rsidR="002B1B8C" w:rsidRPr="002B1B8C">
        <w:trPr>
          <w:tblCellSpacing w:w="0" w:type="dxa"/>
        </w:trPr>
        <w:tc>
          <w:tcPr>
            <w:tcW w:w="0" w:type="auto"/>
            <w:vAlign w:val="center"/>
            <w:hideMark/>
          </w:tcPr>
          <w:p w:rsidR="002B1B8C" w:rsidRPr="002B1B8C" w:rsidRDefault="002B1B8C" w:rsidP="002B1B8C">
            <w:pPr>
              <w:spacing w:after="0" w:line="240" w:lineRule="auto"/>
              <w:rPr>
                <w:rFonts w:ascii="Arial" w:eastAsia="Times New Roman" w:hAnsi="Arial" w:cs="Arial"/>
                <w:color w:val="333333"/>
                <w:sz w:val="18"/>
                <w:szCs w:val="18"/>
                <w:lang w:eastAsia="fr-FR"/>
              </w:rPr>
            </w:pPr>
            <w:r w:rsidRPr="002B1B8C">
              <w:rPr>
                <w:rFonts w:ascii="Arial" w:eastAsia="Times New Roman" w:hAnsi="Arial" w:cs="Arial"/>
                <w:b/>
                <w:bCs/>
                <w:color w:val="333333"/>
                <w:sz w:val="18"/>
                <w:szCs w:val="18"/>
                <w:lang w:eastAsia="fr-FR"/>
              </w:rPr>
              <w:t>Qui est concerné par l’intéressement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L’</w:t>
            </w:r>
            <w:r w:rsidRPr="002B1B8C">
              <w:rPr>
                <w:rFonts w:ascii="Arial" w:eastAsia="Times New Roman" w:hAnsi="Arial" w:cs="Arial"/>
                <w:b/>
                <w:bCs/>
                <w:color w:val="333333"/>
                <w:sz w:val="18"/>
                <w:szCs w:val="18"/>
                <w:lang w:eastAsia="fr-FR"/>
              </w:rPr>
              <w:t xml:space="preserve">intéressement </w:t>
            </w:r>
            <w:r w:rsidRPr="002B1B8C">
              <w:rPr>
                <w:rFonts w:ascii="Arial" w:eastAsia="Times New Roman" w:hAnsi="Arial" w:cs="Arial"/>
                <w:color w:val="333333"/>
                <w:sz w:val="18"/>
                <w:szCs w:val="18"/>
                <w:lang w:eastAsia="fr-FR"/>
              </w:rPr>
              <w:t>est une mesure qui existe depuis 1959.</w:t>
            </w:r>
            <w:r w:rsidRPr="002B1B8C">
              <w:rPr>
                <w:rFonts w:ascii="Arial" w:eastAsia="Times New Roman" w:hAnsi="Arial" w:cs="Arial"/>
                <w:color w:val="333333"/>
                <w:sz w:val="18"/>
                <w:szCs w:val="18"/>
                <w:lang w:eastAsia="fr-FR"/>
              </w:rPr>
              <w:br/>
              <w:t xml:space="preserve">Toutes les entreprises peuvent mettre en place un </w:t>
            </w:r>
            <w:r w:rsidRPr="002B1B8C">
              <w:rPr>
                <w:rFonts w:ascii="Arial" w:eastAsia="Times New Roman" w:hAnsi="Arial" w:cs="Arial"/>
                <w:b/>
                <w:bCs/>
                <w:color w:val="333333"/>
                <w:sz w:val="18"/>
                <w:szCs w:val="18"/>
                <w:lang w:eastAsia="fr-FR"/>
              </w:rPr>
              <w:t>accord d’intéressement</w:t>
            </w:r>
            <w:r w:rsidRPr="002B1B8C">
              <w:rPr>
                <w:rFonts w:ascii="Arial" w:eastAsia="Times New Roman" w:hAnsi="Arial" w:cs="Arial"/>
                <w:color w:val="333333"/>
                <w:sz w:val="18"/>
                <w:szCs w:val="18"/>
                <w:lang w:eastAsia="fr-FR"/>
              </w:rPr>
              <w:t>, et cela quels que soient leur taille, leur effectif, leur statut juridique.</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L’</w:t>
            </w:r>
            <w:r w:rsidRPr="002B1B8C">
              <w:rPr>
                <w:rFonts w:ascii="Arial" w:eastAsia="Times New Roman" w:hAnsi="Arial" w:cs="Arial"/>
                <w:b/>
                <w:bCs/>
                <w:color w:val="333333"/>
                <w:sz w:val="18"/>
                <w:szCs w:val="18"/>
                <w:lang w:eastAsia="fr-FR"/>
              </w:rPr>
              <w:t xml:space="preserve">intéressement </w:t>
            </w:r>
            <w:r w:rsidRPr="002B1B8C">
              <w:rPr>
                <w:rFonts w:ascii="Arial" w:eastAsia="Times New Roman" w:hAnsi="Arial" w:cs="Arial"/>
                <w:color w:val="333333"/>
                <w:sz w:val="18"/>
                <w:szCs w:val="18"/>
                <w:lang w:eastAsia="fr-FR"/>
              </w:rPr>
              <w:t>concerne tous les salariés. Néanmoins, l’accord peut exiger une ancienneté minimale. Celle-ci ne peut cependant excéder 3 mois. Pour les entreprises de moins de 250 salariés, l’employeur peut, lui aussi, bénéficier de l’</w:t>
            </w:r>
            <w:r w:rsidRPr="002B1B8C">
              <w:rPr>
                <w:rFonts w:ascii="Arial" w:eastAsia="Times New Roman" w:hAnsi="Arial" w:cs="Arial"/>
                <w:b/>
                <w:bCs/>
                <w:color w:val="333333"/>
                <w:sz w:val="18"/>
                <w:szCs w:val="18"/>
                <w:lang w:eastAsia="fr-FR"/>
              </w:rPr>
              <w:t>intéressement</w:t>
            </w:r>
            <w:r w:rsidRPr="002B1B8C">
              <w:rPr>
                <w:rFonts w:ascii="Arial" w:eastAsia="Times New Roman" w:hAnsi="Arial" w:cs="Arial"/>
                <w:color w:val="333333"/>
                <w:sz w:val="18"/>
                <w:szCs w:val="18"/>
                <w:lang w:eastAsia="fr-FR"/>
              </w:rPr>
              <w:t xml:space="preserve">.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r>
            <w:r w:rsidRPr="002B1B8C">
              <w:rPr>
                <w:rFonts w:ascii="Arial" w:eastAsia="Times New Roman" w:hAnsi="Arial" w:cs="Arial"/>
                <w:b/>
                <w:bCs/>
                <w:color w:val="333333"/>
                <w:sz w:val="18"/>
                <w:szCs w:val="18"/>
                <w:lang w:eastAsia="fr-FR"/>
              </w:rPr>
              <w:t>Comment se calcule l’intéressement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L’</w:t>
            </w:r>
            <w:r w:rsidRPr="002B1B8C">
              <w:rPr>
                <w:rFonts w:ascii="Arial" w:eastAsia="Times New Roman" w:hAnsi="Arial" w:cs="Arial"/>
                <w:b/>
                <w:bCs/>
                <w:color w:val="333333"/>
                <w:sz w:val="18"/>
                <w:szCs w:val="18"/>
                <w:lang w:eastAsia="fr-FR"/>
              </w:rPr>
              <w:t>intéressement</w:t>
            </w:r>
            <w:r w:rsidRPr="002B1B8C">
              <w:rPr>
                <w:rFonts w:ascii="Arial" w:eastAsia="Times New Roman" w:hAnsi="Arial" w:cs="Arial"/>
                <w:color w:val="333333"/>
                <w:sz w:val="18"/>
                <w:szCs w:val="18"/>
                <w:lang w:eastAsia="fr-FR"/>
              </w:rPr>
              <w:t xml:space="preserve"> peut être basé sur :</w:t>
            </w:r>
            <w:r w:rsidRPr="002B1B8C">
              <w:rPr>
                <w:rFonts w:ascii="Arial" w:eastAsia="Times New Roman" w:hAnsi="Arial" w:cs="Arial"/>
                <w:color w:val="333333"/>
                <w:sz w:val="18"/>
                <w:szCs w:val="18"/>
                <w:lang w:eastAsia="fr-FR"/>
              </w:rPr>
              <w:br/>
              <w:t>    - les résultats de l’entreprise. Dans ce cas, il est défini par rapport à des indicatifs financiers ou comptables ;</w:t>
            </w:r>
            <w:r w:rsidRPr="002B1B8C">
              <w:rPr>
                <w:rFonts w:ascii="Arial" w:eastAsia="Times New Roman" w:hAnsi="Arial" w:cs="Arial"/>
                <w:color w:val="333333"/>
                <w:sz w:val="18"/>
                <w:szCs w:val="18"/>
                <w:lang w:eastAsia="fr-FR"/>
              </w:rPr>
              <w:br/>
              <w:t>    - la performance de l’entreprise. Dans ce cas, il est évalué en fonction de l’atteinte d’objectifs, ou de l’amélioration de la productivité.</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Dans tous les cas, les éléments pris en compte pour le calcul de l’intéressement doivent être objectivement mesurables.</w:t>
            </w:r>
            <w:r w:rsidRPr="002B1B8C">
              <w:rPr>
                <w:rFonts w:ascii="Arial" w:eastAsia="Times New Roman" w:hAnsi="Arial" w:cs="Arial"/>
                <w:color w:val="333333"/>
                <w:sz w:val="18"/>
                <w:szCs w:val="18"/>
                <w:lang w:eastAsia="fr-FR"/>
              </w:rPr>
              <w:br/>
              <w:t>En outre, la règle appliquée pour le calcul doit être précisément explicitée dans l’accord. Le montant global de la prime d’intéressement ne peut dépasser 20% de la totalité des salaires bruts versés.</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Le montant individuel ne peut, quant à lui, excéder la moitié du plafond annuel de la sécurité sociale soit 17 154 € en 2009.</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r>
            <w:r w:rsidRPr="002B1B8C">
              <w:rPr>
                <w:rFonts w:ascii="Arial" w:eastAsia="Times New Roman" w:hAnsi="Arial" w:cs="Arial"/>
                <w:b/>
                <w:bCs/>
                <w:color w:val="333333"/>
                <w:sz w:val="18"/>
                <w:szCs w:val="18"/>
                <w:lang w:eastAsia="fr-FR"/>
              </w:rPr>
              <w:t>La répartition entre les salariés</w:t>
            </w:r>
            <w:r w:rsidRPr="002B1B8C">
              <w:rPr>
                <w:rFonts w:ascii="Arial" w:eastAsia="Times New Roman" w:hAnsi="Arial" w:cs="Arial"/>
                <w:color w:val="333333"/>
                <w:sz w:val="18"/>
                <w:szCs w:val="18"/>
                <w:lang w:eastAsia="fr-FR"/>
              </w:rPr>
              <w:br/>
              <w:t>Il existe diverses formules.</w:t>
            </w:r>
            <w:r w:rsidRPr="002B1B8C">
              <w:rPr>
                <w:rFonts w:ascii="Arial" w:eastAsia="Times New Roman" w:hAnsi="Arial" w:cs="Arial"/>
                <w:color w:val="333333"/>
                <w:sz w:val="18"/>
                <w:szCs w:val="18"/>
                <w:lang w:eastAsia="fr-FR"/>
              </w:rPr>
              <w:br/>
              <w:t>La première d’entre elles consiste à verser la même somme à tous les salariés.</w:t>
            </w:r>
            <w:r w:rsidRPr="002B1B8C">
              <w:rPr>
                <w:rFonts w:ascii="Arial" w:eastAsia="Times New Roman" w:hAnsi="Arial" w:cs="Arial"/>
                <w:color w:val="333333"/>
                <w:sz w:val="18"/>
                <w:szCs w:val="18"/>
                <w:lang w:eastAsia="fr-FR"/>
              </w:rPr>
              <w:br/>
              <w:t>Une seconde consiste à calculer la prime en fonction du salaire et/ou du temps de présence au moment de l’exercice.</w:t>
            </w:r>
            <w:r w:rsidRPr="002B1B8C">
              <w:rPr>
                <w:rFonts w:ascii="Arial" w:eastAsia="Times New Roman" w:hAnsi="Arial" w:cs="Arial"/>
                <w:color w:val="333333"/>
                <w:sz w:val="18"/>
                <w:szCs w:val="18"/>
                <w:lang w:eastAsia="fr-FR"/>
              </w:rPr>
              <w:br/>
              <w:t>En revanche, le calcul de l’intéressement, pour chaque salarié, ne peut se baser sur l’ancienneté, la qualification, le rendement, ou la situation familiale.</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Dans tous les cas, ces éléments sont précisés dans l’accord.</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lastRenderedPageBreak/>
              <w:br/>
            </w:r>
            <w:r w:rsidRPr="002B1B8C">
              <w:rPr>
                <w:rFonts w:ascii="Arial" w:eastAsia="Times New Roman" w:hAnsi="Arial" w:cs="Arial"/>
                <w:b/>
                <w:bCs/>
                <w:color w:val="333333"/>
                <w:sz w:val="18"/>
                <w:szCs w:val="18"/>
                <w:lang w:eastAsia="fr-FR"/>
              </w:rPr>
              <w:t>L’accord d’intéressement</w:t>
            </w:r>
            <w:r w:rsidRPr="002B1B8C">
              <w:rPr>
                <w:rFonts w:ascii="Arial" w:eastAsia="Times New Roman" w:hAnsi="Arial" w:cs="Arial"/>
                <w:color w:val="333333"/>
                <w:sz w:val="18"/>
                <w:szCs w:val="18"/>
                <w:lang w:eastAsia="fr-FR"/>
              </w:rPr>
              <w:br/>
              <w:t>L’accord est conclu pour trois ans. Néanmoins, il peut être assorti d’avenants.</w:t>
            </w:r>
            <w:r w:rsidRPr="002B1B8C">
              <w:rPr>
                <w:rFonts w:ascii="Arial" w:eastAsia="Times New Roman" w:hAnsi="Arial" w:cs="Arial"/>
                <w:color w:val="333333"/>
                <w:sz w:val="18"/>
                <w:szCs w:val="18"/>
                <w:lang w:eastAsia="fr-FR"/>
              </w:rPr>
              <w:br/>
              <w:t>Il doit être signé avant le 1er jour du septième mois qui suit le début de l’exercice.</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r>
            <w:r w:rsidRPr="002B1B8C">
              <w:rPr>
                <w:rFonts w:ascii="Arial" w:eastAsia="Times New Roman" w:hAnsi="Arial" w:cs="Arial"/>
                <w:i/>
                <w:iCs/>
                <w:color w:val="333333"/>
                <w:sz w:val="18"/>
                <w:szCs w:val="18"/>
                <w:lang w:eastAsia="fr-FR"/>
              </w:rPr>
              <w:t xml:space="preserve">Exemple : Pour un intéressement basé sur l’exercice allant du 1er janvier au 31 décembre, l’accord doit être conclu avant le 1er juillet.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L’accord doit être conclu avec :</w:t>
            </w:r>
            <w:r w:rsidRPr="002B1B8C">
              <w:rPr>
                <w:rFonts w:ascii="Arial" w:eastAsia="Times New Roman" w:hAnsi="Arial" w:cs="Arial"/>
                <w:color w:val="333333"/>
                <w:sz w:val="18"/>
                <w:szCs w:val="18"/>
                <w:lang w:eastAsia="fr-FR"/>
              </w:rPr>
              <w:br/>
              <w:t>    - les </w:t>
            </w:r>
            <w:hyperlink r:id="rId5" w:history="1">
              <w:r w:rsidRPr="002B1B8C">
                <w:rPr>
                  <w:rFonts w:ascii="Arial" w:eastAsia="Times New Roman" w:hAnsi="Arial" w:cs="Arial"/>
                  <w:b/>
                  <w:bCs/>
                  <w:color w:val="333333"/>
                  <w:sz w:val="18"/>
                  <w:szCs w:val="18"/>
                  <w:u w:val="single"/>
                  <w:lang w:eastAsia="fr-FR"/>
                </w:rPr>
                <w:t>délégués syndicaux</w:t>
              </w:r>
            </w:hyperlink>
            <w:r w:rsidRPr="002B1B8C">
              <w:rPr>
                <w:rFonts w:ascii="Arial" w:eastAsia="Times New Roman" w:hAnsi="Arial" w:cs="Arial"/>
                <w:color w:val="333333"/>
                <w:sz w:val="18"/>
                <w:szCs w:val="18"/>
                <w:lang w:eastAsia="fr-FR"/>
              </w:rPr>
              <w:t xml:space="preserve"> ;</w:t>
            </w:r>
            <w:r w:rsidRPr="002B1B8C">
              <w:rPr>
                <w:rFonts w:ascii="Arial" w:eastAsia="Times New Roman" w:hAnsi="Arial" w:cs="Arial"/>
                <w:color w:val="333333"/>
                <w:sz w:val="18"/>
                <w:szCs w:val="18"/>
                <w:lang w:eastAsia="fr-FR"/>
              </w:rPr>
              <w:br/>
              <w:t>    - le </w:t>
            </w:r>
            <w:hyperlink r:id="rId6" w:history="1">
              <w:r w:rsidRPr="002B1B8C">
                <w:rPr>
                  <w:rFonts w:ascii="Arial" w:eastAsia="Times New Roman" w:hAnsi="Arial" w:cs="Arial"/>
                  <w:b/>
                  <w:bCs/>
                  <w:color w:val="333333"/>
                  <w:sz w:val="18"/>
                  <w:szCs w:val="18"/>
                  <w:u w:val="single"/>
                  <w:lang w:eastAsia="fr-FR"/>
                </w:rPr>
                <w:t>comité d’entreprise</w:t>
              </w:r>
            </w:hyperlink>
            <w:r w:rsidRPr="002B1B8C">
              <w:rPr>
                <w:rFonts w:ascii="Arial" w:eastAsia="Times New Roman" w:hAnsi="Arial" w:cs="Arial"/>
                <w:color w:val="333333"/>
                <w:sz w:val="18"/>
                <w:szCs w:val="18"/>
                <w:lang w:eastAsia="fr-FR"/>
              </w:rPr>
              <w:t xml:space="preserve"> .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 xml:space="preserve">Une fois conclu, l’accord doit être communiqué dans les 15 jours à la Direction départementale du Travail et de la Formation Professionnelle, à défaut de quoi, les avantages fiscaux seront perdus.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 xml:space="preserve">Les salariés doivent être absolument informés de l’existence de cet accord. Les moyens d’information sont définis dans l’accord lui-même.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r>
            <w:r w:rsidRPr="002B1B8C">
              <w:rPr>
                <w:rFonts w:ascii="Arial" w:eastAsia="Times New Roman" w:hAnsi="Arial" w:cs="Arial"/>
                <w:b/>
                <w:bCs/>
                <w:color w:val="333333"/>
                <w:sz w:val="18"/>
                <w:szCs w:val="18"/>
                <w:lang w:eastAsia="fr-FR"/>
              </w:rPr>
              <w:t>Les avantages liés à l’intéressement</w:t>
            </w:r>
            <w:r w:rsidRPr="002B1B8C">
              <w:rPr>
                <w:rFonts w:ascii="Arial" w:eastAsia="Times New Roman" w:hAnsi="Arial" w:cs="Arial"/>
                <w:color w:val="333333"/>
                <w:sz w:val="18"/>
                <w:szCs w:val="18"/>
                <w:lang w:eastAsia="fr-FR"/>
              </w:rPr>
              <w:br/>
              <w:t>L’</w:t>
            </w:r>
            <w:r w:rsidRPr="002B1B8C">
              <w:rPr>
                <w:rFonts w:ascii="Arial" w:eastAsia="Times New Roman" w:hAnsi="Arial" w:cs="Arial"/>
                <w:b/>
                <w:bCs/>
                <w:color w:val="333333"/>
                <w:sz w:val="18"/>
                <w:szCs w:val="18"/>
                <w:lang w:eastAsia="fr-FR"/>
              </w:rPr>
              <w:t>intéressement</w:t>
            </w:r>
            <w:r w:rsidRPr="002B1B8C">
              <w:rPr>
                <w:rFonts w:ascii="Arial" w:eastAsia="Times New Roman" w:hAnsi="Arial" w:cs="Arial"/>
                <w:color w:val="333333"/>
                <w:sz w:val="18"/>
                <w:szCs w:val="18"/>
                <w:lang w:eastAsia="fr-FR"/>
              </w:rPr>
              <w:t xml:space="preserve"> permet à l’employeur et aux salariés de bénéficier d’avantages sociaux et fiscaux.</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Ainsi, pour l’employeur, l’</w:t>
            </w:r>
            <w:r w:rsidRPr="002B1B8C">
              <w:rPr>
                <w:rFonts w:ascii="Arial" w:eastAsia="Times New Roman" w:hAnsi="Arial" w:cs="Arial"/>
                <w:b/>
                <w:bCs/>
                <w:color w:val="333333"/>
                <w:sz w:val="18"/>
                <w:szCs w:val="18"/>
                <w:lang w:eastAsia="fr-FR"/>
              </w:rPr>
              <w:t>intéressement</w:t>
            </w:r>
            <w:r w:rsidRPr="002B1B8C">
              <w:rPr>
                <w:rFonts w:ascii="Arial" w:eastAsia="Times New Roman" w:hAnsi="Arial" w:cs="Arial"/>
                <w:color w:val="333333"/>
                <w:sz w:val="18"/>
                <w:szCs w:val="18"/>
                <w:lang w:eastAsia="fr-FR"/>
              </w:rPr>
              <w:t xml:space="preserve"> :</w:t>
            </w:r>
            <w:r w:rsidRPr="002B1B8C">
              <w:rPr>
                <w:rFonts w:ascii="Arial" w:eastAsia="Times New Roman" w:hAnsi="Arial" w:cs="Arial"/>
                <w:color w:val="333333"/>
                <w:sz w:val="18"/>
                <w:szCs w:val="18"/>
                <w:lang w:eastAsia="fr-FR"/>
              </w:rPr>
              <w:br/>
              <w:t>    - est déductible du bénéfice imposable de l’entreprise ;</w:t>
            </w:r>
            <w:r w:rsidRPr="002B1B8C">
              <w:rPr>
                <w:rFonts w:ascii="Arial" w:eastAsia="Times New Roman" w:hAnsi="Arial" w:cs="Arial"/>
                <w:color w:val="333333"/>
                <w:sz w:val="18"/>
                <w:szCs w:val="18"/>
                <w:lang w:eastAsia="fr-FR"/>
              </w:rPr>
              <w:br/>
              <w:t xml:space="preserve">    - est exonéré de la taxe sur les salaires.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 xml:space="preserve">En revanche, depuis la loi du 3 décembre 2008, l'intéressement supporte une contribution patronale de 2 %. Par ailleurs, il peut générer un crédit d'impôt pour l'entreprise dans certains cas. </w:t>
            </w:r>
            <w:r w:rsidRPr="002B1B8C">
              <w:rPr>
                <w:rFonts w:ascii="Arial" w:eastAsia="Times New Roman" w:hAnsi="Arial" w:cs="Arial"/>
                <w:color w:val="333333"/>
                <w:sz w:val="18"/>
                <w:szCs w:val="18"/>
                <w:lang w:eastAsia="fr-FR"/>
              </w:rPr>
              <w:br/>
            </w:r>
            <w:r w:rsidRPr="002B1B8C">
              <w:rPr>
                <w:rFonts w:ascii="Arial" w:eastAsia="Times New Roman" w:hAnsi="Arial" w:cs="Arial"/>
                <w:color w:val="333333"/>
                <w:sz w:val="18"/>
                <w:szCs w:val="18"/>
                <w:lang w:eastAsia="fr-FR"/>
              </w:rPr>
              <w:br/>
              <w:t>Pour les salariés, l’</w:t>
            </w:r>
            <w:r w:rsidRPr="002B1B8C">
              <w:rPr>
                <w:rFonts w:ascii="Arial" w:eastAsia="Times New Roman" w:hAnsi="Arial" w:cs="Arial"/>
                <w:b/>
                <w:bCs/>
                <w:color w:val="333333"/>
                <w:sz w:val="18"/>
                <w:szCs w:val="18"/>
                <w:lang w:eastAsia="fr-FR"/>
              </w:rPr>
              <w:t>intéressement</w:t>
            </w:r>
            <w:r w:rsidRPr="002B1B8C">
              <w:rPr>
                <w:rFonts w:ascii="Arial" w:eastAsia="Times New Roman" w:hAnsi="Arial" w:cs="Arial"/>
                <w:color w:val="333333"/>
                <w:sz w:val="18"/>
                <w:szCs w:val="18"/>
                <w:lang w:eastAsia="fr-FR"/>
              </w:rPr>
              <w:t xml:space="preserve"> :</w:t>
            </w:r>
            <w:r w:rsidRPr="002B1B8C">
              <w:rPr>
                <w:rFonts w:ascii="Arial" w:eastAsia="Times New Roman" w:hAnsi="Arial" w:cs="Arial"/>
                <w:color w:val="333333"/>
                <w:sz w:val="18"/>
                <w:szCs w:val="18"/>
                <w:lang w:eastAsia="fr-FR"/>
              </w:rPr>
              <w:br/>
              <w:t>    - n’est pas pris en compte pour le calcul du SMIC, des congés payés, des primes, des gratifications, des éventuelles indemnités de départ, car il n’est pas considéré comme un salaire ;</w:t>
            </w:r>
            <w:r w:rsidRPr="002B1B8C">
              <w:rPr>
                <w:rFonts w:ascii="Arial" w:eastAsia="Times New Roman" w:hAnsi="Arial" w:cs="Arial"/>
                <w:color w:val="333333"/>
                <w:sz w:val="18"/>
                <w:szCs w:val="18"/>
                <w:lang w:eastAsia="fr-FR"/>
              </w:rPr>
              <w:br/>
              <w:t xml:space="preserve">    - est exonéré des cotisations salariales </w:t>
            </w:r>
            <w:r w:rsidRPr="002B1B8C">
              <w:rPr>
                <w:rFonts w:ascii="Arial" w:eastAsia="Times New Roman" w:hAnsi="Arial" w:cs="Arial"/>
                <w:color w:val="333333"/>
                <w:sz w:val="18"/>
                <w:szCs w:val="18"/>
                <w:lang w:eastAsia="fr-FR"/>
              </w:rPr>
              <w:br/>
              <w:t>    - il est soumis à la CSG et la CRDS ;</w:t>
            </w:r>
            <w:r w:rsidRPr="002B1B8C">
              <w:rPr>
                <w:rFonts w:ascii="Arial" w:eastAsia="Times New Roman" w:hAnsi="Arial" w:cs="Arial"/>
                <w:color w:val="333333"/>
                <w:sz w:val="18"/>
                <w:szCs w:val="18"/>
                <w:lang w:eastAsia="fr-FR"/>
              </w:rPr>
              <w:br/>
              <w:t>    - est imposable sauf s’il est placé sur un Plan Epargne Entreprise.</w:t>
            </w:r>
          </w:p>
        </w:tc>
      </w:tr>
    </w:tbl>
    <w:p w:rsidR="00C32BBC" w:rsidRPr="002B1B8C" w:rsidRDefault="00C32BBC">
      <w:pPr>
        <w:rPr>
          <w:sz w:val="18"/>
          <w:szCs w:val="18"/>
        </w:rPr>
      </w:pPr>
    </w:p>
    <w:sectPr w:rsidR="00C32BBC" w:rsidRPr="002B1B8C" w:rsidSect="002B1B8C">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1B8C"/>
    <w:rsid w:val="002B1B8C"/>
    <w:rsid w:val="00B50B9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2B1B8C"/>
    <w:pPr>
      <w:spacing w:before="150" w:after="150" w:line="240" w:lineRule="auto"/>
      <w:outlineLvl w:val="0"/>
    </w:pPr>
    <w:rPr>
      <w:rFonts w:ascii="Times New Roman" w:eastAsia="Times New Roman" w:hAnsi="Times New Roman" w:cs="Times New Roman"/>
      <w:b/>
      <w:bCs/>
      <w:color w:val="454436"/>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B8C"/>
    <w:rPr>
      <w:rFonts w:ascii="Times New Roman" w:eastAsia="Times New Roman" w:hAnsi="Times New Roman" w:cs="Times New Roman"/>
      <w:b/>
      <w:bCs/>
      <w:color w:val="454436"/>
      <w:kern w:val="36"/>
      <w:sz w:val="24"/>
      <w:szCs w:val="24"/>
      <w:lang w:eastAsia="fr-FR"/>
    </w:rPr>
  </w:style>
  <w:style w:type="character" w:styleId="Lienhypertexte">
    <w:name w:val="Hyperlink"/>
    <w:basedOn w:val="Policepardfaut"/>
    <w:uiPriority w:val="99"/>
    <w:semiHidden/>
    <w:unhideWhenUsed/>
    <w:rsid w:val="002B1B8C"/>
    <w:rPr>
      <w:strike w:val="0"/>
      <w:dstrike w:val="0"/>
      <w:color w:val="333333"/>
      <w:u w:val="none"/>
      <w:effect w:val="none"/>
    </w:rPr>
  </w:style>
  <w:style w:type="paragraph" w:styleId="Textedebulles">
    <w:name w:val="Balloon Text"/>
    <w:basedOn w:val="Normal"/>
    <w:link w:val="TextedebullesCar"/>
    <w:uiPriority w:val="99"/>
    <w:semiHidden/>
    <w:unhideWhenUsed/>
    <w:rsid w:val="002B1B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170143">
      <w:bodyDiv w:val="1"/>
      <w:marLeft w:val="0"/>
      <w:marRight w:val="0"/>
      <w:marTop w:val="0"/>
      <w:marBottom w:val="0"/>
      <w:divBdr>
        <w:top w:val="none" w:sz="0" w:space="0" w:color="auto"/>
        <w:left w:val="none" w:sz="0" w:space="0" w:color="auto"/>
        <w:bottom w:val="none" w:sz="0" w:space="0" w:color="auto"/>
        <w:right w:val="none" w:sz="0" w:space="0" w:color="auto"/>
      </w:divBdr>
      <w:divsChild>
        <w:div w:id="96561173">
          <w:marLeft w:val="0"/>
          <w:marRight w:val="0"/>
          <w:marTop w:val="0"/>
          <w:marBottom w:val="0"/>
          <w:divBdr>
            <w:top w:val="none" w:sz="0" w:space="0" w:color="auto"/>
            <w:left w:val="none" w:sz="0" w:space="0" w:color="auto"/>
            <w:bottom w:val="none" w:sz="0" w:space="0" w:color="auto"/>
            <w:right w:val="none" w:sz="0" w:space="0" w:color="auto"/>
          </w:divBdr>
          <w:divsChild>
            <w:div w:id="600650999">
              <w:marLeft w:val="0"/>
              <w:marRight w:val="0"/>
              <w:marTop w:val="1305"/>
              <w:marBottom w:val="0"/>
              <w:divBdr>
                <w:top w:val="none" w:sz="0" w:space="0" w:color="auto"/>
                <w:left w:val="none" w:sz="0" w:space="0" w:color="auto"/>
                <w:bottom w:val="none" w:sz="0" w:space="0" w:color="auto"/>
                <w:right w:val="none" w:sz="0" w:space="0" w:color="auto"/>
              </w:divBdr>
              <w:divsChild>
                <w:div w:id="100684310">
                  <w:marLeft w:val="0"/>
                  <w:marRight w:val="0"/>
                  <w:marTop w:val="0"/>
                  <w:marBottom w:val="0"/>
                  <w:divBdr>
                    <w:top w:val="none" w:sz="0" w:space="0" w:color="auto"/>
                    <w:left w:val="none" w:sz="0" w:space="0" w:color="auto"/>
                    <w:bottom w:val="none" w:sz="0" w:space="0" w:color="auto"/>
                    <w:right w:val="none" w:sz="0" w:space="0" w:color="auto"/>
                  </w:divBdr>
                  <w:divsChild>
                    <w:div w:id="1075783376">
                      <w:marLeft w:val="1950"/>
                      <w:marRight w:val="0"/>
                      <w:marTop w:val="0"/>
                      <w:marBottom w:val="0"/>
                      <w:divBdr>
                        <w:top w:val="none" w:sz="0" w:space="0" w:color="auto"/>
                        <w:left w:val="single" w:sz="6" w:space="11" w:color="D7D4C6"/>
                        <w:bottom w:val="none" w:sz="0" w:space="0" w:color="auto"/>
                        <w:right w:val="none" w:sz="0" w:space="0" w:color="auto"/>
                      </w:divBdr>
                      <w:divsChild>
                        <w:div w:id="1956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ternaute.com/pratique/emploi/vos-droits/representants-du-personnel/98/le-comite-d-entreprise.html" TargetMode="External"/><Relationship Id="rId5" Type="http://schemas.openxmlformats.org/officeDocument/2006/relationships/hyperlink" Target="http://www.linternaute.com/pratique/emploi/vos-droits/representants-du-personnel/101/le-delegue-syndical.html"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3383</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2010-12-05T15:57:00Z</dcterms:created>
  <dcterms:modified xsi:type="dcterms:W3CDTF">2010-12-05T15:58:00Z</dcterms:modified>
</cp:coreProperties>
</file>