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51" w:rsidRDefault="001B5851" w:rsidP="001B5851">
      <w:r>
        <w:t>Point prospection Capstone</w:t>
      </w:r>
    </w:p>
    <w:p w:rsidR="001B5851" w:rsidRDefault="001B5851" w:rsidP="001B5851">
      <w:r>
        <w:t>Le 12 11 2010</w:t>
      </w:r>
    </w:p>
    <w:p w:rsidR="001B5851" w:rsidRDefault="001B5851" w:rsidP="001B5851">
      <w:pPr>
        <w:pStyle w:val="Paragraphedeliste"/>
        <w:numPr>
          <w:ilvl w:val="0"/>
          <w:numId w:val="1"/>
        </w:numPr>
      </w:pPr>
      <w:r>
        <w:t>SL</w:t>
      </w:r>
    </w:p>
    <w:p w:rsidR="001B5851" w:rsidRDefault="001B5851" w:rsidP="001B5851">
      <w:r>
        <w:t>80% des capitaux risques : proposition d’acquisition d’</w:t>
      </w:r>
      <w:proofErr w:type="spellStart"/>
      <w:r>
        <w:t>immo</w:t>
      </w:r>
      <w:proofErr w:type="spellEnd"/>
      <w:r>
        <w:t xml:space="preserve"> existant</w:t>
      </w:r>
    </w:p>
    <w:p w:rsidR="001B5851" w:rsidRDefault="001B5851" w:rsidP="001B5851">
      <w:r>
        <w:t>Début Family office dont «</w:t>
      </w:r>
      <w:proofErr w:type="spellStart"/>
      <w:r>
        <w:t>aqua</w:t>
      </w:r>
      <w:proofErr w:type="spellEnd"/>
      <w:r>
        <w:t xml:space="preserve"> </w:t>
      </w:r>
      <w:proofErr w:type="spellStart"/>
      <w:r>
        <w:t>sourca</w:t>
      </w:r>
      <w:proofErr w:type="spellEnd"/>
      <w:r>
        <w:t> »</w:t>
      </w:r>
    </w:p>
    <w:p w:rsidR="001B5851" w:rsidRDefault="001B5851" w:rsidP="001B5851"/>
    <w:p w:rsidR="001B5851" w:rsidRDefault="001B5851" w:rsidP="001B5851">
      <w:pPr>
        <w:pStyle w:val="Paragraphedeliste"/>
        <w:numPr>
          <w:ilvl w:val="0"/>
          <w:numId w:val="1"/>
        </w:numPr>
      </w:pPr>
      <w:r>
        <w:t>JSC</w:t>
      </w:r>
    </w:p>
    <w:p w:rsidR="001B5851" w:rsidRDefault="001B5851" w:rsidP="001B5851">
      <w:proofErr w:type="spellStart"/>
      <w:r>
        <w:t>Verlinvest</w:t>
      </w:r>
      <w:proofErr w:type="spellEnd"/>
    </w:p>
    <w:p w:rsidR="001B5851" w:rsidRDefault="001B5851" w:rsidP="001B5851"/>
    <w:p w:rsidR="001B5851" w:rsidRDefault="001B5851" w:rsidP="001B5851">
      <w:pPr>
        <w:pStyle w:val="Paragraphedeliste"/>
        <w:numPr>
          <w:ilvl w:val="0"/>
          <w:numId w:val="1"/>
        </w:numPr>
      </w:pPr>
      <w:r>
        <w:t>ER</w:t>
      </w:r>
    </w:p>
    <w:p w:rsidR="001B5851" w:rsidRDefault="001B5851" w:rsidP="001B5851">
      <w:r>
        <w:t>Compagnies assurance 1 à 50</w:t>
      </w:r>
    </w:p>
    <w:p w:rsidR="001B5851" w:rsidRDefault="001B5851" w:rsidP="001B5851">
      <w:pPr>
        <w:pStyle w:val="Paragraphedeliste"/>
        <w:numPr>
          <w:ilvl w:val="0"/>
          <w:numId w:val="1"/>
        </w:numPr>
      </w:pPr>
      <w:r>
        <w:t>CB</w:t>
      </w:r>
    </w:p>
    <w:p w:rsidR="001B5851" w:rsidRDefault="001B5851" w:rsidP="001B5851">
      <w:r>
        <w:t>Caisses de retraite (sauf CARMF)</w:t>
      </w:r>
    </w:p>
    <w:p w:rsidR="001B5851" w:rsidRDefault="001B5851" w:rsidP="001B5851">
      <w:r>
        <w:t>Compagnies assurance 51 à 100</w:t>
      </w:r>
    </w:p>
    <w:p w:rsidR="001B5851" w:rsidRDefault="001B5851" w:rsidP="001B5851">
      <w:pPr>
        <w:pStyle w:val="Paragraphedeliste"/>
        <w:numPr>
          <w:ilvl w:val="0"/>
          <w:numId w:val="1"/>
        </w:numPr>
      </w:pPr>
      <w:r>
        <w:t>OL</w:t>
      </w:r>
    </w:p>
    <w:p w:rsidR="001B5851" w:rsidRDefault="001B5851" w:rsidP="001B5851">
      <w:r>
        <w:t>Compagnies assurance 101 à 150</w:t>
      </w:r>
    </w:p>
    <w:p w:rsidR="001B5851" w:rsidRDefault="001B5851" w:rsidP="001B5851"/>
    <w:p w:rsidR="001B5851" w:rsidRDefault="001B5851" w:rsidP="001B5851">
      <w:pPr>
        <w:rPr>
          <w:b/>
          <w:bCs/>
        </w:rPr>
      </w:pPr>
      <w:r>
        <w:rPr>
          <w:b/>
          <w:bCs/>
        </w:rPr>
        <w:t>A ne pas contacter</w:t>
      </w:r>
    </w:p>
    <w:p w:rsidR="001B5851" w:rsidRDefault="001B5851" w:rsidP="001B5851">
      <w:proofErr w:type="spellStart"/>
      <w:r>
        <w:t>Fiducial</w:t>
      </w:r>
      <w:proofErr w:type="spellEnd"/>
    </w:p>
    <w:p w:rsidR="001B5851" w:rsidRDefault="001B5851" w:rsidP="001B5851">
      <w:r>
        <w:t xml:space="preserve">Fonds de </w:t>
      </w:r>
      <w:proofErr w:type="spellStart"/>
      <w:r>
        <w:t>Lafonta</w:t>
      </w:r>
      <w:proofErr w:type="spellEnd"/>
    </w:p>
    <w:p w:rsidR="001B5851" w:rsidRDefault="001B5851" w:rsidP="001B5851">
      <w:proofErr w:type="spellStart"/>
      <w:r>
        <w:t>Siparex</w:t>
      </w:r>
      <w:proofErr w:type="spellEnd"/>
    </w:p>
    <w:p w:rsidR="001B5851" w:rsidRDefault="001B5851" w:rsidP="001B5851">
      <w:r>
        <w:t>Caravelle</w:t>
      </w:r>
    </w:p>
    <w:p w:rsidR="0050187D" w:rsidRDefault="0050187D" w:rsidP="001B5851"/>
    <w:p w:rsidR="0050187D" w:rsidRDefault="0050187D" w:rsidP="0050187D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Afin d’éviter tout télescopage avec les clients DTZ ci-dessous</w:t>
      </w:r>
    </w:p>
    <w:p w:rsidR="0050187D" w:rsidRDefault="0050187D" w:rsidP="0050187D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Et pour rester conforme à notre entretien d’hier</w:t>
      </w:r>
    </w:p>
    <w:p w:rsidR="0050187D" w:rsidRDefault="0050187D" w:rsidP="0050187D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Merci de ne pas contacter les sociétés ci-dessous</w:t>
      </w:r>
    </w:p>
    <w:p w:rsidR="0050187D" w:rsidRDefault="0050187D" w:rsidP="0050187D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Nous le ferons avec DTZ début décembre et cela aura un bien meilleur impact</w:t>
      </w:r>
    </w:p>
    <w:p w:rsidR="0050187D" w:rsidRDefault="0050187D" w:rsidP="0050187D">
      <w:pPr>
        <w:rPr>
          <w:rFonts w:ascii="Arial" w:hAnsi="Arial" w:cs="Arial"/>
          <w:color w:val="17365D"/>
        </w:rPr>
      </w:pPr>
    </w:p>
    <w:p w:rsidR="00C32BBC" w:rsidRPr="0050187D" w:rsidRDefault="0050187D">
      <w:pPr>
        <w:rPr>
          <w:rFonts w:ascii="Arial" w:hAnsi="Arial" w:cs="Arial"/>
          <w:color w:val="17365D"/>
        </w:rPr>
      </w:pPr>
      <w:r>
        <w:rPr>
          <w:noProof/>
          <w:lang w:eastAsia="fr-FR"/>
        </w:rPr>
        <w:drawing>
          <wp:inline distT="0" distB="0" distL="0" distR="0">
            <wp:extent cx="3667125" cy="3295650"/>
            <wp:effectExtent l="19050" t="0" r="9525" b="0"/>
            <wp:docPr id="1" name="Image 1" descr="Description : cid:image004.png@01CB80C1.C2658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id:image004.png@01CB80C1.C2658E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BBC" w:rsidRPr="0050187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4B4"/>
    <w:multiLevelType w:val="hybridMultilevel"/>
    <w:tmpl w:val="D708CD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851"/>
    <w:rsid w:val="001B5851"/>
    <w:rsid w:val="00407543"/>
    <w:rsid w:val="0050187D"/>
    <w:rsid w:val="006E677A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5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851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B8277.9FB01F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2010-11-16T09:45:00Z</dcterms:created>
  <dcterms:modified xsi:type="dcterms:W3CDTF">2010-11-16T09:46:00Z</dcterms:modified>
</cp:coreProperties>
</file>