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C7" w:rsidRDefault="00FF7625">
      <w:r>
        <w:t>MURE : Intégration fiscale</w:t>
      </w:r>
    </w:p>
    <w:p w:rsidR="00FF7625" w:rsidRDefault="00FF7625" w:rsidP="00FF7625">
      <w:pPr>
        <w:pStyle w:val="Titre2"/>
        <w:jc w:val="both"/>
      </w:pPr>
      <w:r>
        <w:rPr>
          <w:rFonts w:ascii="Arial" w:hAnsi="Arial" w:cs="Arial"/>
          <w:color w:val="000000"/>
          <w:sz w:val="20"/>
          <w:szCs w:val="20"/>
        </w:rPr>
        <w:t>SA avec Directoire et Conseil de surveillance repose sur une séparation des fonctions de gestion (dévolues au Directoire) et de contrôle (dévolues au Conseil de surveillance). Le Conseil de surveillance est l'émanation directe des associés. Il surveille et oriente la gestion mais il ne l'exerce et ne l'élabore pas. C'est le Directoire qui assume normalement ces fonctions. Aucun membre</w:t>
      </w:r>
      <w:bookmarkStart w:id="0" w:name="_GoBack"/>
      <w:bookmarkEnd w:id="0"/>
      <w:r>
        <w:rPr>
          <w:rFonts w:ascii="Arial" w:hAnsi="Arial" w:cs="Arial"/>
          <w:color w:val="000000"/>
          <w:sz w:val="20"/>
          <w:szCs w:val="20"/>
        </w:rPr>
        <w:t xml:space="preserve"> du Conseil de surveillance ne peut faire partie aussi du Directoire.</w:t>
      </w:r>
    </w:p>
    <w:p w:rsidR="00FF7625" w:rsidRDefault="00FF7625"/>
    <w:p w:rsidR="0033559E" w:rsidRDefault="0033559E">
      <w:r>
        <w:t>Filiales Mure</w:t>
      </w:r>
    </w:p>
    <w:p w:rsidR="0033559E" w:rsidRDefault="0033559E">
      <w:proofErr w:type="spellStart"/>
      <w:r>
        <w:t>Babich</w:t>
      </w:r>
      <w:proofErr w:type="spellEnd"/>
    </w:p>
    <w:p w:rsidR="00716B5C" w:rsidRPr="00716B5C" w:rsidRDefault="00716B5C" w:rsidP="00716B5C">
      <w:pPr>
        <w:spacing w:before="100" w:beforeAutospacing="1" w:after="75" w:line="240" w:lineRule="auto"/>
        <w:outlineLvl w:val="0"/>
        <w:rPr>
          <w:rFonts w:ascii="Lucida Sans" w:eastAsia="Times New Roman" w:hAnsi="Lucida Sans" w:cs="Times New Roman"/>
          <w:b/>
          <w:bCs/>
          <w:color w:val="548BC1"/>
          <w:kern w:val="36"/>
          <w:sz w:val="23"/>
          <w:szCs w:val="23"/>
          <w:lang w:eastAsia="fr-FR"/>
        </w:rPr>
      </w:pPr>
      <w:r w:rsidRPr="00716B5C">
        <w:rPr>
          <w:rFonts w:ascii="Lucida Sans" w:eastAsia="Times New Roman" w:hAnsi="Lucida Sans" w:cs="Times New Roman"/>
          <w:b/>
          <w:bCs/>
          <w:color w:val="548BC1"/>
          <w:kern w:val="36"/>
          <w:sz w:val="23"/>
          <w:szCs w:val="23"/>
          <w:lang w:eastAsia="fr-FR"/>
        </w:rPr>
        <w:t>BABICH SA</w:t>
      </w:r>
    </w:p>
    <w:p w:rsidR="00716B5C" w:rsidRDefault="00716B5C" w:rsidP="00716B5C">
      <w:pPr>
        <w:rPr>
          <w:rFonts w:ascii="Times New Roman" w:eastAsia="Times New Roman" w:hAnsi="Times New Roman" w:cs="Times New Roman"/>
          <w:sz w:val="24"/>
          <w:szCs w:val="24"/>
          <w:lang w:eastAsia="fr-FR"/>
        </w:rPr>
      </w:pPr>
      <w:r w:rsidRPr="00716B5C">
        <w:rPr>
          <w:rFonts w:ascii="Times New Roman" w:eastAsia="Times New Roman" w:hAnsi="Times New Roman" w:cs="Times New Roman"/>
          <w:sz w:val="24"/>
          <w:szCs w:val="24"/>
          <w:lang w:eastAsia="fr-FR"/>
        </w:rPr>
        <w:t>RCS Lyon B 466 202</w:t>
      </w:r>
      <w:r>
        <w:rPr>
          <w:rFonts w:ascii="Times New Roman" w:eastAsia="Times New Roman" w:hAnsi="Times New Roman" w:cs="Times New Roman"/>
          <w:sz w:val="24"/>
          <w:szCs w:val="24"/>
          <w:lang w:eastAsia="fr-FR"/>
        </w:rPr>
        <w:t> </w:t>
      </w:r>
      <w:r w:rsidRPr="00716B5C">
        <w:rPr>
          <w:rFonts w:ascii="Times New Roman" w:eastAsia="Times New Roman" w:hAnsi="Times New Roman" w:cs="Times New Roman"/>
          <w:sz w:val="24"/>
          <w:szCs w:val="24"/>
          <w:lang w:eastAsia="fr-FR"/>
        </w:rPr>
        <w:t>355</w:t>
      </w:r>
    </w:p>
    <w:p w:rsidR="00716B5C" w:rsidRDefault="00716B5C" w:rsidP="00716B5C">
      <w:hyperlink r:id="rId5" w:history="1">
        <w:r w:rsidRPr="00C1644D">
          <w:rPr>
            <w:rStyle w:val="Lienhypertexte"/>
          </w:rPr>
          <w:t>http://www.societe.com/societe/babich-sa-466202355.html</w:t>
        </w:r>
      </w:hyperlink>
      <w:r>
        <w:t xml:space="preserve"> </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shd w:val="clear" w:color="auto" w:fill="E7E7E7"/>
            <w:vAlign w:val="center"/>
            <w:hideMark/>
          </w:tcPr>
          <w:tbl>
            <w:tblPr>
              <w:tblW w:w="5000" w:type="pct"/>
              <w:tblCellSpacing w:w="0" w:type="dxa"/>
              <w:tblCellMar>
                <w:left w:w="0" w:type="dxa"/>
                <w:right w:w="0" w:type="dxa"/>
              </w:tblCellMar>
              <w:tblLook w:val="04A0" w:firstRow="1" w:lastRow="0" w:firstColumn="1" w:lastColumn="0" w:noHBand="0" w:noVBand="1"/>
            </w:tblPr>
            <w:tblGrid>
              <w:gridCol w:w="5840"/>
              <w:gridCol w:w="3232"/>
            </w:tblGrid>
            <w:tr w:rsidR="00716B5C">
              <w:trPr>
                <w:tblCellSpacing w:w="0" w:type="dxa"/>
              </w:trPr>
              <w:tc>
                <w:tcPr>
                  <w:tcW w:w="0" w:type="auto"/>
                  <w:vAlign w:val="center"/>
                  <w:hideMark/>
                </w:tcPr>
                <w:p w:rsidR="00716B5C" w:rsidRDefault="00716B5C">
                  <w:pPr>
                    <w:rPr>
                      <w:sz w:val="24"/>
                      <w:szCs w:val="24"/>
                    </w:rPr>
                  </w:pPr>
                  <w:r>
                    <w:t xml:space="preserve">Actif </w:t>
                  </w:r>
                </w:p>
              </w:tc>
              <w:tc>
                <w:tcPr>
                  <w:tcW w:w="0" w:type="auto"/>
                  <w:vAlign w:val="center"/>
                  <w:hideMark/>
                </w:tcPr>
                <w:tbl>
                  <w:tblPr>
                    <w:tblW w:w="0" w:type="auto"/>
                    <w:jc w:val="right"/>
                    <w:tblCellSpacing w:w="7" w:type="dxa"/>
                    <w:tblCellMar>
                      <w:top w:w="15" w:type="dxa"/>
                      <w:left w:w="15" w:type="dxa"/>
                      <w:bottom w:w="15" w:type="dxa"/>
                      <w:right w:w="15" w:type="dxa"/>
                    </w:tblCellMar>
                    <w:tblLook w:val="04A0" w:firstRow="1" w:lastRow="0" w:firstColumn="1" w:lastColumn="0" w:noHBand="0" w:noVBand="1"/>
                  </w:tblPr>
                  <w:tblGrid>
                    <w:gridCol w:w="57"/>
                    <w:gridCol w:w="171"/>
                  </w:tblGrid>
                  <w:tr w:rsidR="00716B5C">
                    <w:trPr>
                      <w:tblCellSpacing w:w="7" w:type="dxa"/>
                      <w:jc w:val="right"/>
                      <w:hidden/>
                    </w:trPr>
                    <w:tc>
                      <w:tcPr>
                        <w:tcW w:w="0" w:type="auto"/>
                        <w:vAlign w:val="center"/>
                        <w:hideMark/>
                      </w:tcPr>
                      <w:p w:rsidR="00716B5C" w:rsidRDefault="00716B5C" w:rsidP="00716B5C">
                        <w:pPr>
                          <w:rPr>
                            <w:vanish/>
                            <w:sz w:val="15"/>
                            <w:szCs w:val="15"/>
                          </w:rPr>
                        </w:pPr>
                        <w:hyperlink r:id="rId6" w:history="1">
                          <w:r>
                            <w:rPr>
                              <w:rStyle w:val="Lienhypertexte"/>
                              <w:vanish/>
                              <w:color w:val="444444"/>
                              <w:sz w:val="15"/>
                              <w:szCs w:val="15"/>
                            </w:rPr>
                            <w:t>HAUT DE PAGE</w:t>
                          </w:r>
                        </w:hyperlink>
                        <w:r>
                          <w:rPr>
                            <w:vanish/>
                            <w:sz w:val="15"/>
                            <w:szCs w:val="15"/>
                          </w:rPr>
                          <w:t xml:space="preserve">  </w:t>
                        </w:r>
                      </w:p>
                    </w:tc>
                    <w:tc>
                      <w:tcPr>
                        <w:tcW w:w="0" w:type="auto"/>
                        <w:vAlign w:val="center"/>
                        <w:hideMark/>
                      </w:tcPr>
                      <w:p w:rsidR="00716B5C" w:rsidRDefault="00716B5C">
                        <w:pPr>
                          <w:rPr>
                            <w:sz w:val="24"/>
                            <w:szCs w:val="24"/>
                          </w:rPr>
                        </w:pPr>
                        <w:r>
                          <w:rPr>
                            <w:noProof/>
                            <w:color w:val="0000FF"/>
                            <w:lang w:eastAsia="fr-FR"/>
                          </w:rPr>
                          <w:drawing>
                            <wp:inline distT="0" distB="0" distL="0" distR="0">
                              <wp:extent cx="66675" cy="47625"/>
                              <wp:effectExtent l="0" t="0" r="9525" b="9525"/>
                              <wp:docPr id="3" name="Image 3" descr="haut de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t de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p>
                    </w:tc>
                  </w:tr>
                </w:tbl>
                <w:p w:rsidR="00716B5C" w:rsidRDefault="00716B5C">
                  <w:pPr>
                    <w:jc w:val="right"/>
                    <w:rPr>
                      <w:sz w:val="24"/>
                      <w:szCs w:val="24"/>
                    </w:rPr>
                  </w:pPr>
                </w:p>
              </w:tc>
            </w:tr>
          </w:tbl>
          <w:p w:rsidR="00716B5C" w:rsidRDefault="00716B5C">
            <w:pPr>
              <w:rPr>
                <w:b/>
                <w:bCs/>
                <w:color w:val="444444"/>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vAlign w:val="center"/>
            <w:hideMark/>
          </w:tcPr>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2873"/>
              <w:gridCol w:w="1617"/>
              <w:gridCol w:w="1617"/>
              <w:gridCol w:w="1617"/>
              <w:gridCol w:w="1257"/>
            </w:tblGrid>
            <w:tr w:rsidR="00716B5C">
              <w:trPr>
                <w:trHeight w:val="510"/>
                <w:tblCellSpacing w:w="0" w:type="dxa"/>
              </w:trPr>
              <w:tc>
                <w:tcPr>
                  <w:tcW w:w="1600" w:type="pct"/>
                  <w:vAlign w:val="center"/>
                  <w:hideMark/>
                </w:tcPr>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31-12-2009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31-12-2008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Variation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7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Evolution %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w:t>
                        </w:r>
                      </w:p>
                    </w:tc>
                  </w:tr>
                </w:tbl>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Actif immobilisé* </w:t>
                  </w:r>
                </w:p>
              </w:tc>
              <w:tc>
                <w:tcPr>
                  <w:tcW w:w="0" w:type="auto"/>
                  <w:vAlign w:val="center"/>
                  <w:hideMark/>
                </w:tcPr>
                <w:p w:rsidR="00716B5C" w:rsidRDefault="00716B5C">
                  <w:pPr>
                    <w:jc w:val="right"/>
                    <w:rPr>
                      <w:b/>
                      <w:bCs/>
                      <w:sz w:val="17"/>
                      <w:szCs w:val="17"/>
                    </w:rPr>
                  </w:pPr>
                  <w:r>
                    <w:rPr>
                      <w:b/>
                      <w:bCs/>
                      <w:sz w:val="17"/>
                      <w:szCs w:val="17"/>
                    </w:rPr>
                    <w:t xml:space="preserve"> 67.000 </w:t>
                  </w:r>
                </w:p>
              </w:tc>
              <w:tc>
                <w:tcPr>
                  <w:tcW w:w="0" w:type="auto"/>
                  <w:vAlign w:val="center"/>
                  <w:hideMark/>
                </w:tcPr>
                <w:p w:rsidR="00716B5C" w:rsidRDefault="00716B5C">
                  <w:pPr>
                    <w:jc w:val="right"/>
                    <w:rPr>
                      <w:b/>
                      <w:bCs/>
                      <w:sz w:val="17"/>
                      <w:szCs w:val="17"/>
                    </w:rPr>
                  </w:pPr>
                  <w:r>
                    <w:rPr>
                      <w:b/>
                      <w:bCs/>
                      <w:sz w:val="17"/>
                      <w:szCs w:val="17"/>
                    </w:rPr>
                    <w:t xml:space="preserve"> 67.000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incorporel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corporel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financier </w:t>
                  </w:r>
                </w:p>
              </w:tc>
              <w:tc>
                <w:tcPr>
                  <w:tcW w:w="0" w:type="auto"/>
                  <w:vAlign w:val="center"/>
                  <w:hideMark/>
                </w:tcPr>
                <w:p w:rsidR="00716B5C" w:rsidRDefault="00716B5C">
                  <w:pPr>
                    <w:jc w:val="right"/>
                    <w:rPr>
                      <w:sz w:val="17"/>
                      <w:szCs w:val="17"/>
                    </w:rPr>
                  </w:pPr>
                  <w:r>
                    <w:rPr>
                      <w:sz w:val="17"/>
                      <w:szCs w:val="17"/>
                    </w:rPr>
                    <w:t xml:space="preserve"> 67.000 </w:t>
                  </w:r>
                </w:p>
              </w:tc>
              <w:tc>
                <w:tcPr>
                  <w:tcW w:w="0" w:type="auto"/>
                  <w:vAlign w:val="center"/>
                  <w:hideMark/>
                </w:tcPr>
                <w:p w:rsidR="00716B5C" w:rsidRDefault="00716B5C">
                  <w:pPr>
                    <w:jc w:val="right"/>
                    <w:rPr>
                      <w:sz w:val="17"/>
                      <w:szCs w:val="17"/>
                    </w:rPr>
                  </w:pPr>
                  <w:r>
                    <w:rPr>
                      <w:sz w:val="17"/>
                      <w:szCs w:val="17"/>
                    </w:rPr>
                    <w:t xml:space="preserve"> 67.000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Actif circulant* </w:t>
                  </w:r>
                </w:p>
              </w:tc>
              <w:tc>
                <w:tcPr>
                  <w:tcW w:w="0" w:type="auto"/>
                  <w:vAlign w:val="center"/>
                  <w:hideMark/>
                </w:tcPr>
                <w:p w:rsidR="00716B5C" w:rsidRDefault="00716B5C">
                  <w:pPr>
                    <w:jc w:val="right"/>
                    <w:rPr>
                      <w:b/>
                      <w:bCs/>
                      <w:sz w:val="17"/>
                      <w:szCs w:val="17"/>
                    </w:rPr>
                  </w:pPr>
                  <w:r>
                    <w:rPr>
                      <w:b/>
                      <w:bCs/>
                      <w:sz w:val="17"/>
                      <w:szCs w:val="17"/>
                    </w:rPr>
                    <w:t xml:space="preserve"> 1.538.000 </w:t>
                  </w:r>
                </w:p>
              </w:tc>
              <w:tc>
                <w:tcPr>
                  <w:tcW w:w="0" w:type="auto"/>
                  <w:vAlign w:val="center"/>
                  <w:hideMark/>
                </w:tcPr>
                <w:p w:rsidR="00716B5C" w:rsidRDefault="00716B5C">
                  <w:pPr>
                    <w:jc w:val="right"/>
                    <w:rPr>
                      <w:b/>
                      <w:bCs/>
                      <w:sz w:val="17"/>
                      <w:szCs w:val="17"/>
                    </w:rPr>
                  </w:pPr>
                  <w:r>
                    <w:rPr>
                      <w:b/>
                      <w:bCs/>
                      <w:sz w:val="17"/>
                      <w:szCs w:val="17"/>
                    </w:rPr>
                    <w:t xml:space="preserve"> 2.100.000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- 562.000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-26,76%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stocks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créances </w:t>
                  </w:r>
                </w:p>
              </w:tc>
              <w:tc>
                <w:tcPr>
                  <w:tcW w:w="0" w:type="auto"/>
                  <w:vAlign w:val="center"/>
                  <w:hideMark/>
                </w:tcPr>
                <w:p w:rsidR="00716B5C" w:rsidRDefault="00716B5C">
                  <w:pPr>
                    <w:jc w:val="right"/>
                    <w:rPr>
                      <w:sz w:val="17"/>
                      <w:szCs w:val="17"/>
                    </w:rPr>
                  </w:pPr>
                  <w:r>
                    <w:rPr>
                      <w:sz w:val="17"/>
                      <w:szCs w:val="17"/>
                    </w:rPr>
                    <w:t xml:space="preserve"> 1.528.000 </w:t>
                  </w:r>
                </w:p>
              </w:tc>
              <w:tc>
                <w:tcPr>
                  <w:tcW w:w="0" w:type="auto"/>
                  <w:vAlign w:val="center"/>
                  <w:hideMark/>
                </w:tcPr>
                <w:p w:rsidR="00716B5C" w:rsidRDefault="00716B5C">
                  <w:pPr>
                    <w:jc w:val="right"/>
                    <w:rPr>
                      <w:sz w:val="17"/>
                      <w:szCs w:val="17"/>
                    </w:rPr>
                  </w:pPr>
                  <w:r>
                    <w:rPr>
                      <w:sz w:val="17"/>
                      <w:szCs w:val="17"/>
                    </w:rPr>
                    <w:t xml:space="preserve"> 2.081.000 </w:t>
                  </w:r>
                </w:p>
              </w:tc>
              <w:tc>
                <w:tcPr>
                  <w:tcW w:w="0" w:type="auto"/>
                  <w:vAlign w:val="center"/>
                  <w:hideMark/>
                </w:tcPr>
                <w:p w:rsidR="00716B5C" w:rsidRDefault="00716B5C">
                  <w:pPr>
                    <w:jc w:val="right"/>
                    <w:rPr>
                      <w:color w:val="000000"/>
                      <w:sz w:val="17"/>
                      <w:szCs w:val="17"/>
                    </w:rPr>
                  </w:pPr>
                  <w:r>
                    <w:rPr>
                      <w:color w:val="000000"/>
                      <w:sz w:val="17"/>
                      <w:szCs w:val="17"/>
                    </w:rPr>
                    <w:t xml:space="preserve"> - 553.000 </w:t>
                  </w:r>
                </w:p>
              </w:tc>
              <w:tc>
                <w:tcPr>
                  <w:tcW w:w="0" w:type="auto"/>
                  <w:vAlign w:val="center"/>
                  <w:hideMark/>
                </w:tcPr>
                <w:p w:rsidR="00716B5C" w:rsidRDefault="00716B5C">
                  <w:pPr>
                    <w:jc w:val="right"/>
                    <w:rPr>
                      <w:color w:val="000000"/>
                      <w:sz w:val="17"/>
                      <w:szCs w:val="17"/>
                    </w:rPr>
                  </w:pPr>
                  <w:r>
                    <w:rPr>
                      <w:color w:val="000000"/>
                      <w:sz w:val="17"/>
                      <w:szCs w:val="17"/>
                    </w:rPr>
                    <w:t xml:space="preserve">-26,57%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disponibilités </w:t>
                  </w:r>
                </w:p>
              </w:tc>
              <w:tc>
                <w:tcPr>
                  <w:tcW w:w="0" w:type="auto"/>
                  <w:vAlign w:val="center"/>
                  <w:hideMark/>
                </w:tcPr>
                <w:p w:rsidR="00716B5C" w:rsidRDefault="00716B5C">
                  <w:pPr>
                    <w:jc w:val="right"/>
                    <w:rPr>
                      <w:sz w:val="17"/>
                      <w:szCs w:val="17"/>
                    </w:rPr>
                  </w:pPr>
                  <w:r>
                    <w:rPr>
                      <w:sz w:val="17"/>
                      <w:szCs w:val="17"/>
                    </w:rPr>
                    <w:t xml:space="preserve"> 10.000 </w:t>
                  </w:r>
                </w:p>
              </w:tc>
              <w:tc>
                <w:tcPr>
                  <w:tcW w:w="0" w:type="auto"/>
                  <w:vAlign w:val="center"/>
                  <w:hideMark/>
                </w:tcPr>
                <w:p w:rsidR="00716B5C" w:rsidRDefault="00716B5C">
                  <w:pPr>
                    <w:jc w:val="right"/>
                    <w:rPr>
                      <w:sz w:val="17"/>
                      <w:szCs w:val="17"/>
                    </w:rPr>
                  </w:pPr>
                  <w:r>
                    <w:rPr>
                      <w:sz w:val="17"/>
                      <w:szCs w:val="17"/>
                    </w:rPr>
                    <w:t xml:space="preserve"> 18.000 </w:t>
                  </w:r>
                </w:p>
              </w:tc>
              <w:tc>
                <w:tcPr>
                  <w:tcW w:w="0" w:type="auto"/>
                  <w:vAlign w:val="center"/>
                  <w:hideMark/>
                </w:tcPr>
                <w:p w:rsidR="00716B5C" w:rsidRDefault="00716B5C">
                  <w:pPr>
                    <w:jc w:val="right"/>
                    <w:rPr>
                      <w:color w:val="000000"/>
                      <w:sz w:val="17"/>
                      <w:szCs w:val="17"/>
                    </w:rPr>
                  </w:pPr>
                  <w:r>
                    <w:rPr>
                      <w:color w:val="000000"/>
                      <w:sz w:val="17"/>
                      <w:szCs w:val="17"/>
                    </w:rPr>
                    <w:t xml:space="preserve"> - 8.000 </w:t>
                  </w:r>
                </w:p>
              </w:tc>
              <w:tc>
                <w:tcPr>
                  <w:tcW w:w="0" w:type="auto"/>
                  <w:vAlign w:val="center"/>
                  <w:hideMark/>
                </w:tcPr>
                <w:p w:rsidR="00716B5C" w:rsidRDefault="00716B5C">
                  <w:pPr>
                    <w:jc w:val="right"/>
                    <w:rPr>
                      <w:color w:val="000000"/>
                      <w:sz w:val="17"/>
                      <w:szCs w:val="17"/>
                    </w:rPr>
                  </w:pPr>
                  <w:r>
                    <w:rPr>
                      <w:color w:val="000000"/>
                      <w:sz w:val="17"/>
                      <w:szCs w:val="17"/>
                    </w:rPr>
                    <w:t xml:space="preserve">-44,44%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sz w:val="17"/>
                      <w:szCs w:val="17"/>
                    </w:rPr>
                  </w:pPr>
                  <w:r>
                    <w:rPr>
                      <w:sz w:val="17"/>
                      <w:szCs w:val="17"/>
                    </w:rPr>
                    <w:t xml:space="preserve">Compte de régularisation actif </w:t>
                  </w:r>
                </w:p>
              </w:tc>
              <w:tc>
                <w:tcPr>
                  <w:tcW w:w="0" w:type="auto"/>
                  <w:vAlign w:val="center"/>
                  <w:hideMark/>
                </w:tcPr>
                <w:p w:rsidR="00716B5C" w:rsidRDefault="00716B5C">
                  <w:pPr>
                    <w:jc w:val="right"/>
                    <w:rPr>
                      <w:sz w:val="17"/>
                      <w:szCs w:val="17"/>
                    </w:rPr>
                  </w:pPr>
                  <w:r>
                    <w:rPr>
                      <w:sz w:val="17"/>
                      <w:szCs w:val="17"/>
                    </w:rPr>
                    <w:t xml:space="preserve"> 2.000 </w:t>
                  </w:r>
                </w:p>
              </w:tc>
              <w:tc>
                <w:tcPr>
                  <w:tcW w:w="0" w:type="auto"/>
                  <w:vAlign w:val="center"/>
                  <w:hideMark/>
                </w:tcPr>
                <w:p w:rsidR="00716B5C" w:rsidRDefault="00716B5C">
                  <w:pPr>
                    <w:jc w:val="right"/>
                    <w:rPr>
                      <w:sz w:val="17"/>
                      <w:szCs w:val="17"/>
                    </w:rPr>
                  </w:pPr>
                  <w:r>
                    <w:rPr>
                      <w:sz w:val="17"/>
                      <w:szCs w:val="17"/>
                    </w:rPr>
                    <w:t xml:space="preserve"> 7.000 </w:t>
                  </w:r>
                </w:p>
              </w:tc>
              <w:tc>
                <w:tcPr>
                  <w:tcW w:w="0" w:type="auto"/>
                  <w:vAlign w:val="center"/>
                  <w:hideMark/>
                </w:tcPr>
                <w:p w:rsidR="00716B5C" w:rsidRDefault="00716B5C">
                  <w:pPr>
                    <w:jc w:val="right"/>
                    <w:rPr>
                      <w:color w:val="000000"/>
                      <w:sz w:val="17"/>
                      <w:szCs w:val="17"/>
                    </w:rPr>
                  </w:pPr>
                  <w:r>
                    <w:rPr>
                      <w:color w:val="000000"/>
                      <w:sz w:val="17"/>
                      <w:szCs w:val="17"/>
                    </w:rPr>
                    <w:t xml:space="preserve"> - 5.000 </w:t>
                  </w:r>
                </w:p>
              </w:tc>
              <w:tc>
                <w:tcPr>
                  <w:tcW w:w="0" w:type="auto"/>
                  <w:vAlign w:val="center"/>
                  <w:hideMark/>
                </w:tcPr>
                <w:p w:rsidR="00716B5C" w:rsidRDefault="00716B5C">
                  <w:pPr>
                    <w:jc w:val="right"/>
                    <w:rPr>
                      <w:color w:val="000000"/>
                      <w:sz w:val="17"/>
                      <w:szCs w:val="17"/>
                    </w:rPr>
                  </w:pPr>
                  <w:r>
                    <w:rPr>
                      <w:color w:val="000000"/>
                      <w:sz w:val="17"/>
                      <w:szCs w:val="17"/>
                    </w:rPr>
                    <w:t xml:space="preserve">-71,43%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Total actif </w:t>
                  </w:r>
                </w:p>
              </w:tc>
              <w:tc>
                <w:tcPr>
                  <w:tcW w:w="0" w:type="auto"/>
                  <w:vAlign w:val="center"/>
                  <w:hideMark/>
                </w:tcPr>
                <w:p w:rsidR="00716B5C" w:rsidRDefault="00716B5C">
                  <w:pPr>
                    <w:jc w:val="right"/>
                    <w:rPr>
                      <w:b/>
                      <w:bCs/>
                      <w:sz w:val="17"/>
                      <w:szCs w:val="17"/>
                    </w:rPr>
                  </w:pPr>
                  <w:r>
                    <w:rPr>
                      <w:b/>
                      <w:bCs/>
                      <w:sz w:val="17"/>
                      <w:szCs w:val="17"/>
                    </w:rPr>
                    <w:t xml:space="preserve"> 1.606.000 </w:t>
                  </w:r>
                </w:p>
              </w:tc>
              <w:tc>
                <w:tcPr>
                  <w:tcW w:w="0" w:type="auto"/>
                  <w:vAlign w:val="center"/>
                  <w:hideMark/>
                </w:tcPr>
                <w:p w:rsidR="00716B5C" w:rsidRDefault="00716B5C">
                  <w:pPr>
                    <w:jc w:val="right"/>
                    <w:rPr>
                      <w:b/>
                      <w:bCs/>
                      <w:sz w:val="17"/>
                      <w:szCs w:val="17"/>
                    </w:rPr>
                  </w:pPr>
                  <w:r>
                    <w:rPr>
                      <w:b/>
                      <w:bCs/>
                      <w:sz w:val="17"/>
                      <w:szCs w:val="17"/>
                    </w:rPr>
                    <w:t xml:space="preserve"> 2.173.000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- 567.000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-26,09%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spacing w:after="240"/>
                    <w:rPr>
                      <w:sz w:val="17"/>
                      <w:szCs w:val="17"/>
                    </w:rPr>
                  </w:pPr>
                  <w:r>
                    <w:rPr>
                      <w:noProof/>
                      <w:sz w:val="17"/>
                      <w:szCs w:val="17"/>
                      <w:lang w:eastAsia="fr-FR"/>
                    </w:rPr>
                    <w:drawing>
                      <wp:inline distT="0" distB="0" distL="0" distR="0">
                        <wp:extent cx="57150" cy="85725"/>
                        <wp:effectExtent l="0" t="0" r="0" b="9525"/>
                        <wp:docPr id="2" name="Image 2" descr="commander les comptes comp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ander les comptes compl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hyperlink r:id="rId9" w:history="1">
                    <w:r>
                      <w:rPr>
                        <w:rStyle w:val="Lienhypertexte"/>
                        <w:sz w:val="17"/>
                        <w:szCs w:val="17"/>
                      </w:rPr>
                      <w:t>Commander les comptes complets</w:t>
                    </w:r>
                  </w:hyperlink>
                  <w:r>
                    <w:rPr>
                      <w:sz w:val="17"/>
                      <w:szCs w:val="17"/>
                    </w:rPr>
                    <w:t xml:space="preserve"> </w:t>
                  </w:r>
                </w:p>
              </w:tc>
            </w:tr>
          </w:tbl>
          <w:p w:rsidR="00716B5C" w:rsidRDefault="00716B5C">
            <w:pPr>
              <w:rPr>
                <w:sz w:val="24"/>
                <w:szCs w:val="24"/>
              </w:rPr>
            </w:pPr>
          </w:p>
        </w:tc>
      </w:tr>
    </w:tbl>
    <w:p w:rsidR="00716B5C" w:rsidRDefault="00716B5C" w:rsidP="00716B5C">
      <w:pPr>
        <w:rPr>
          <w:vanish/>
        </w:rPr>
      </w:pPr>
      <w:bookmarkStart w:id="1" w:name="pa"/>
      <w:bookmarkEnd w:id="1"/>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shd w:val="clear" w:color="auto" w:fill="E7E7E7"/>
            <w:vAlign w:val="center"/>
            <w:hideMark/>
          </w:tcPr>
          <w:tbl>
            <w:tblPr>
              <w:tblW w:w="5000" w:type="pct"/>
              <w:tblCellSpacing w:w="0" w:type="dxa"/>
              <w:tblCellMar>
                <w:left w:w="0" w:type="dxa"/>
                <w:right w:w="0" w:type="dxa"/>
              </w:tblCellMar>
              <w:tblLook w:val="04A0" w:firstRow="1" w:lastRow="0" w:firstColumn="1" w:lastColumn="0" w:noHBand="0" w:noVBand="1"/>
            </w:tblPr>
            <w:tblGrid>
              <w:gridCol w:w="6265"/>
              <w:gridCol w:w="2807"/>
            </w:tblGrid>
            <w:tr w:rsidR="00716B5C">
              <w:trPr>
                <w:tblCellSpacing w:w="0" w:type="dxa"/>
              </w:trPr>
              <w:tc>
                <w:tcPr>
                  <w:tcW w:w="0" w:type="auto"/>
                  <w:vAlign w:val="center"/>
                  <w:hideMark/>
                </w:tcPr>
                <w:p w:rsidR="00716B5C" w:rsidRDefault="00716B5C" w:rsidP="00716B5C">
                  <w:pPr>
                    <w:rPr>
                      <w:sz w:val="24"/>
                      <w:szCs w:val="24"/>
                    </w:rPr>
                  </w:pPr>
                  <w:r>
                    <w:t xml:space="preserve">Passif </w:t>
                  </w:r>
                </w:p>
              </w:tc>
              <w:tc>
                <w:tcPr>
                  <w:tcW w:w="0" w:type="auto"/>
                  <w:vAlign w:val="center"/>
                  <w:hideMark/>
                </w:tcPr>
                <w:tbl>
                  <w:tblPr>
                    <w:tblW w:w="0" w:type="auto"/>
                    <w:jc w:val="right"/>
                    <w:tblCellSpacing w:w="7" w:type="dxa"/>
                    <w:tblCellMar>
                      <w:top w:w="15" w:type="dxa"/>
                      <w:left w:w="15" w:type="dxa"/>
                      <w:bottom w:w="15" w:type="dxa"/>
                      <w:right w:w="15" w:type="dxa"/>
                    </w:tblCellMar>
                    <w:tblLook w:val="04A0" w:firstRow="1" w:lastRow="0" w:firstColumn="1" w:lastColumn="0" w:noHBand="0" w:noVBand="1"/>
                  </w:tblPr>
                  <w:tblGrid>
                    <w:gridCol w:w="57"/>
                    <w:gridCol w:w="171"/>
                  </w:tblGrid>
                  <w:tr w:rsidR="00716B5C">
                    <w:trPr>
                      <w:tblCellSpacing w:w="7" w:type="dxa"/>
                      <w:jc w:val="right"/>
                      <w:hidden/>
                    </w:trPr>
                    <w:tc>
                      <w:tcPr>
                        <w:tcW w:w="0" w:type="auto"/>
                        <w:vAlign w:val="center"/>
                        <w:hideMark/>
                      </w:tcPr>
                      <w:p w:rsidR="00716B5C" w:rsidRDefault="00716B5C" w:rsidP="00716B5C">
                        <w:pPr>
                          <w:rPr>
                            <w:vanish/>
                            <w:sz w:val="15"/>
                            <w:szCs w:val="15"/>
                          </w:rPr>
                        </w:pPr>
                        <w:hyperlink r:id="rId10" w:history="1">
                          <w:r>
                            <w:rPr>
                              <w:rStyle w:val="Lienhypertexte"/>
                              <w:vanish/>
                              <w:color w:val="444444"/>
                              <w:sz w:val="15"/>
                              <w:szCs w:val="15"/>
                            </w:rPr>
                            <w:t>HAUT DE PAGE</w:t>
                          </w:r>
                        </w:hyperlink>
                        <w:r>
                          <w:rPr>
                            <w:vanish/>
                            <w:sz w:val="15"/>
                            <w:szCs w:val="15"/>
                          </w:rPr>
                          <w:t xml:space="preserve">  </w:t>
                        </w:r>
                      </w:p>
                    </w:tc>
                    <w:tc>
                      <w:tcPr>
                        <w:tcW w:w="0" w:type="auto"/>
                        <w:vAlign w:val="center"/>
                        <w:hideMark/>
                      </w:tcPr>
                      <w:p w:rsidR="00716B5C" w:rsidRDefault="00716B5C">
                        <w:pPr>
                          <w:rPr>
                            <w:sz w:val="24"/>
                            <w:szCs w:val="24"/>
                          </w:rPr>
                        </w:pPr>
                        <w:r>
                          <w:rPr>
                            <w:noProof/>
                            <w:color w:val="0000FF"/>
                            <w:lang w:eastAsia="fr-FR"/>
                          </w:rPr>
                          <w:drawing>
                            <wp:inline distT="0" distB="0" distL="0" distR="0">
                              <wp:extent cx="66675" cy="47625"/>
                              <wp:effectExtent l="0" t="0" r="9525" b="9525"/>
                              <wp:docPr id="1" name="Image 1" descr="haut de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t de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p>
                    </w:tc>
                  </w:tr>
                </w:tbl>
                <w:p w:rsidR="00716B5C" w:rsidRDefault="00716B5C">
                  <w:pPr>
                    <w:jc w:val="right"/>
                    <w:rPr>
                      <w:sz w:val="24"/>
                      <w:szCs w:val="24"/>
                    </w:rPr>
                  </w:pPr>
                </w:p>
              </w:tc>
            </w:tr>
          </w:tbl>
          <w:p w:rsidR="00716B5C" w:rsidRDefault="00716B5C">
            <w:pPr>
              <w:rPr>
                <w:b/>
                <w:bCs/>
                <w:color w:val="444444"/>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vAlign w:val="center"/>
            <w:hideMark/>
          </w:tcPr>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2873"/>
              <w:gridCol w:w="1617"/>
              <w:gridCol w:w="1617"/>
              <w:gridCol w:w="1617"/>
              <w:gridCol w:w="1257"/>
            </w:tblGrid>
            <w:tr w:rsidR="00716B5C">
              <w:trPr>
                <w:trHeight w:val="510"/>
                <w:tblCellSpacing w:w="0" w:type="dxa"/>
              </w:trPr>
              <w:tc>
                <w:tcPr>
                  <w:tcW w:w="1600" w:type="pct"/>
                  <w:vAlign w:val="center"/>
                  <w:hideMark/>
                </w:tcPr>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31-12-2009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31-12-2008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Variation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7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Evolution %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w:t>
                        </w:r>
                      </w:p>
                    </w:tc>
                  </w:tr>
                </w:tbl>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Capitaux propres* </w:t>
                  </w:r>
                </w:p>
              </w:tc>
              <w:tc>
                <w:tcPr>
                  <w:tcW w:w="0" w:type="auto"/>
                  <w:vAlign w:val="center"/>
                  <w:hideMark/>
                </w:tcPr>
                <w:p w:rsidR="00716B5C" w:rsidRDefault="00716B5C">
                  <w:pPr>
                    <w:jc w:val="right"/>
                    <w:rPr>
                      <w:b/>
                      <w:bCs/>
                      <w:sz w:val="17"/>
                      <w:szCs w:val="17"/>
                    </w:rPr>
                  </w:pPr>
                  <w:r>
                    <w:rPr>
                      <w:b/>
                      <w:bCs/>
                      <w:sz w:val="17"/>
                      <w:szCs w:val="17"/>
                    </w:rPr>
                    <w:t xml:space="preserve"> 1.557.000 </w:t>
                  </w:r>
                </w:p>
              </w:tc>
              <w:tc>
                <w:tcPr>
                  <w:tcW w:w="0" w:type="auto"/>
                  <w:vAlign w:val="center"/>
                  <w:hideMark/>
                </w:tcPr>
                <w:p w:rsidR="00716B5C" w:rsidRDefault="00716B5C">
                  <w:pPr>
                    <w:jc w:val="right"/>
                    <w:rPr>
                      <w:b/>
                      <w:bCs/>
                      <w:sz w:val="17"/>
                      <w:szCs w:val="17"/>
                    </w:rPr>
                  </w:pPr>
                  <w:r>
                    <w:rPr>
                      <w:b/>
                      <w:bCs/>
                      <w:sz w:val="17"/>
                      <w:szCs w:val="17"/>
                    </w:rPr>
                    <w:t xml:space="preserve"> 1.580.000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- 23.000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-1,46%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Provisions* </w:t>
                  </w:r>
                </w:p>
              </w:tc>
              <w:tc>
                <w:tcPr>
                  <w:tcW w:w="0" w:type="auto"/>
                  <w:vAlign w:val="center"/>
                  <w:hideMark/>
                </w:tcPr>
                <w:p w:rsidR="00716B5C" w:rsidRDefault="00716B5C">
                  <w:pPr>
                    <w:jc w:val="right"/>
                    <w:rPr>
                      <w:b/>
                      <w:bCs/>
                      <w:sz w:val="17"/>
                      <w:szCs w:val="17"/>
                    </w:rPr>
                  </w:pPr>
                  <w:r>
                    <w:rPr>
                      <w:b/>
                      <w:bCs/>
                      <w:sz w:val="17"/>
                      <w:szCs w:val="17"/>
                    </w:rPr>
                    <w:t xml:space="preserve"> 0 </w:t>
                  </w:r>
                </w:p>
              </w:tc>
              <w:tc>
                <w:tcPr>
                  <w:tcW w:w="0" w:type="auto"/>
                  <w:vAlign w:val="center"/>
                  <w:hideMark/>
                </w:tcPr>
                <w:p w:rsidR="00716B5C" w:rsidRDefault="00716B5C">
                  <w:pPr>
                    <w:jc w:val="right"/>
                    <w:rPr>
                      <w:b/>
                      <w:bCs/>
                      <w:sz w:val="17"/>
                      <w:szCs w:val="17"/>
                    </w:rPr>
                  </w:pPr>
                  <w:r>
                    <w:rPr>
                      <w:b/>
                      <w:bCs/>
                      <w:sz w:val="17"/>
                      <w:szCs w:val="17"/>
                    </w:rPr>
                    <w:t xml:space="preserve"> 137.000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- 137.000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-100,00%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Dettes* </w:t>
                  </w:r>
                </w:p>
              </w:tc>
              <w:tc>
                <w:tcPr>
                  <w:tcW w:w="0" w:type="auto"/>
                  <w:vAlign w:val="center"/>
                  <w:hideMark/>
                </w:tcPr>
                <w:p w:rsidR="00716B5C" w:rsidRDefault="00716B5C">
                  <w:pPr>
                    <w:jc w:val="right"/>
                    <w:rPr>
                      <w:b/>
                      <w:bCs/>
                      <w:sz w:val="17"/>
                      <w:szCs w:val="17"/>
                    </w:rPr>
                  </w:pPr>
                  <w:r>
                    <w:rPr>
                      <w:b/>
                      <w:bCs/>
                      <w:sz w:val="17"/>
                      <w:szCs w:val="17"/>
                    </w:rPr>
                    <w:t xml:space="preserve"> 49.000 </w:t>
                  </w:r>
                </w:p>
              </w:tc>
              <w:tc>
                <w:tcPr>
                  <w:tcW w:w="0" w:type="auto"/>
                  <w:vAlign w:val="center"/>
                  <w:hideMark/>
                </w:tcPr>
                <w:p w:rsidR="00716B5C" w:rsidRDefault="00716B5C">
                  <w:pPr>
                    <w:jc w:val="right"/>
                    <w:rPr>
                      <w:b/>
                      <w:bCs/>
                      <w:sz w:val="17"/>
                      <w:szCs w:val="17"/>
                    </w:rPr>
                  </w:pPr>
                  <w:r>
                    <w:rPr>
                      <w:b/>
                      <w:bCs/>
                      <w:sz w:val="17"/>
                      <w:szCs w:val="17"/>
                    </w:rPr>
                    <w:t xml:space="preserve"> 456.000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- 407.000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-89,25%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financières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fournisseurs </w:t>
                  </w:r>
                </w:p>
              </w:tc>
              <w:tc>
                <w:tcPr>
                  <w:tcW w:w="0" w:type="auto"/>
                  <w:vAlign w:val="center"/>
                  <w:hideMark/>
                </w:tcPr>
                <w:p w:rsidR="00716B5C" w:rsidRDefault="00716B5C">
                  <w:pPr>
                    <w:jc w:val="right"/>
                    <w:rPr>
                      <w:sz w:val="17"/>
                      <w:szCs w:val="17"/>
                    </w:rPr>
                  </w:pPr>
                  <w:r>
                    <w:rPr>
                      <w:sz w:val="17"/>
                      <w:szCs w:val="17"/>
                    </w:rPr>
                    <w:t xml:space="preserve"> 21.000 </w:t>
                  </w:r>
                </w:p>
              </w:tc>
              <w:tc>
                <w:tcPr>
                  <w:tcW w:w="0" w:type="auto"/>
                  <w:vAlign w:val="center"/>
                  <w:hideMark/>
                </w:tcPr>
                <w:p w:rsidR="00716B5C" w:rsidRDefault="00716B5C">
                  <w:pPr>
                    <w:jc w:val="right"/>
                    <w:rPr>
                      <w:sz w:val="17"/>
                      <w:szCs w:val="17"/>
                    </w:rPr>
                  </w:pPr>
                  <w:r>
                    <w:rPr>
                      <w:sz w:val="17"/>
                      <w:szCs w:val="17"/>
                    </w:rPr>
                    <w:t xml:space="preserve"> 27.000 </w:t>
                  </w:r>
                </w:p>
              </w:tc>
              <w:tc>
                <w:tcPr>
                  <w:tcW w:w="0" w:type="auto"/>
                  <w:vAlign w:val="center"/>
                  <w:hideMark/>
                </w:tcPr>
                <w:p w:rsidR="00716B5C" w:rsidRDefault="00716B5C">
                  <w:pPr>
                    <w:jc w:val="right"/>
                    <w:rPr>
                      <w:color w:val="000000"/>
                      <w:sz w:val="17"/>
                      <w:szCs w:val="17"/>
                    </w:rPr>
                  </w:pPr>
                  <w:r>
                    <w:rPr>
                      <w:color w:val="000000"/>
                      <w:sz w:val="17"/>
                      <w:szCs w:val="17"/>
                    </w:rPr>
                    <w:t xml:space="preserve"> - 6.000 </w:t>
                  </w:r>
                </w:p>
              </w:tc>
              <w:tc>
                <w:tcPr>
                  <w:tcW w:w="0" w:type="auto"/>
                  <w:vAlign w:val="center"/>
                  <w:hideMark/>
                </w:tcPr>
                <w:p w:rsidR="00716B5C" w:rsidRDefault="00716B5C">
                  <w:pPr>
                    <w:jc w:val="right"/>
                    <w:rPr>
                      <w:color w:val="000000"/>
                      <w:sz w:val="17"/>
                      <w:szCs w:val="17"/>
                    </w:rPr>
                  </w:pPr>
                  <w:r>
                    <w:rPr>
                      <w:color w:val="000000"/>
                      <w:sz w:val="17"/>
                      <w:szCs w:val="17"/>
                    </w:rPr>
                    <w:t xml:space="preserve">-22,22%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fiscales et sociales </w:t>
                  </w:r>
                </w:p>
              </w:tc>
              <w:tc>
                <w:tcPr>
                  <w:tcW w:w="0" w:type="auto"/>
                  <w:vAlign w:val="center"/>
                  <w:hideMark/>
                </w:tcPr>
                <w:p w:rsidR="00716B5C" w:rsidRDefault="00716B5C">
                  <w:pPr>
                    <w:jc w:val="right"/>
                    <w:rPr>
                      <w:sz w:val="17"/>
                      <w:szCs w:val="17"/>
                    </w:rPr>
                  </w:pPr>
                  <w:r>
                    <w:rPr>
                      <w:sz w:val="17"/>
                      <w:szCs w:val="17"/>
                    </w:rPr>
                    <w:t xml:space="preserve"> 28.000 </w:t>
                  </w:r>
                </w:p>
              </w:tc>
              <w:tc>
                <w:tcPr>
                  <w:tcW w:w="0" w:type="auto"/>
                  <w:vAlign w:val="center"/>
                  <w:hideMark/>
                </w:tcPr>
                <w:p w:rsidR="00716B5C" w:rsidRDefault="00716B5C">
                  <w:pPr>
                    <w:jc w:val="right"/>
                    <w:rPr>
                      <w:sz w:val="17"/>
                      <w:szCs w:val="17"/>
                    </w:rPr>
                  </w:pPr>
                  <w:r>
                    <w:rPr>
                      <w:sz w:val="17"/>
                      <w:szCs w:val="17"/>
                    </w:rPr>
                    <w:t xml:space="preserve"> 30.000 </w:t>
                  </w:r>
                </w:p>
              </w:tc>
              <w:tc>
                <w:tcPr>
                  <w:tcW w:w="0" w:type="auto"/>
                  <w:vAlign w:val="center"/>
                  <w:hideMark/>
                </w:tcPr>
                <w:p w:rsidR="00716B5C" w:rsidRDefault="00716B5C">
                  <w:pPr>
                    <w:jc w:val="right"/>
                    <w:rPr>
                      <w:color w:val="000000"/>
                      <w:sz w:val="17"/>
                      <w:szCs w:val="17"/>
                    </w:rPr>
                  </w:pPr>
                  <w:r>
                    <w:rPr>
                      <w:color w:val="000000"/>
                      <w:sz w:val="17"/>
                      <w:szCs w:val="17"/>
                    </w:rPr>
                    <w:t xml:space="preserve"> - 2.000 </w:t>
                  </w:r>
                </w:p>
              </w:tc>
              <w:tc>
                <w:tcPr>
                  <w:tcW w:w="0" w:type="auto"/>
                  <w:vAlign w:val="center"/>
                  <w:hideMark/>
                </w:tcPr>
                <w:p w:rsidR="00716B5C" w:rsidRDefault="00716B5C">
                  <w:pPr>
                    <w:jc w:val="right"/>
                    <w:rPr>
                      <w:color w:val="000000"/>
                      <w:sz w:val="17"/>
                      <w:szCs w:val="17"/>
                    </w:rPr>
                  </w:pPr>
                  <w:r>
                    <w:rPr>
                      <w:color w:val="000000"/>
                      <w:sz w:val="17"/>
                      <w:szCs w:val="17"/>
                    </w:rPr>
                    <w:t xml:space="preserve">-6,67%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autres dettes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398.000 </w:t>
                  </w:r>
                </w:p>
              </w:tc>
              <w:tc>
                <w:tcPr>
                  <w:tcW w:w="0" w:type="auto"/>
                  <w:vAlign w:val="center"/>
                  <w:hideMark/>
                </w:tcPr>
                <w:p w:rsidR="00716B5C" w:rsidRDefault="00716B5C">
                  <w:pPr>
                    <w:jc w:val="right"/>
                    <w:rPr>
                      <w:color w:val="000000"/>
                      <w:sz w:val="17"/>
                      <w:szCs w:val="17"/>
                    </w:rPr>
                  </w:pPr>
                  <w:r>
                    <w:rPr>
                      <w:color w:val="000000"/>
                      <w:sz w:val="17"/>
                      <w:szCs w:val="17"/>
                    </w:rPr>
                    <w:t xml:space="preserve"> - 398.000 </w:t>
                  </w:r>
                </w:p>
              </w:tc>
              <w:tc>
                <w:tcPr>
                  <w:tcW w:w="0" w:type="auto"/>
                  <w:vAlign w:val="center"/>
                  <w:hideMark/>
                </w:tcPr>
                <w:p w:rsidR="00716B5C" w:rsidRDefault="00716B5C">
                  <w:pPr>
                    <w:jc w:val="right"/>
                    <w:rPr>
                      <w:color w:val="000000"/>
                      <w:sz w:val="17"/>
                      <w:szCs w:val="17"/>
                    </w:rPr>
                  </w:pPr>
                  <w:r>
                    <w:rPr>
                      <w:color w:val="000000"/>
                      <w:sz w:val="17"/>
                      <w:szCs w:val="17"/>
                    </w:rPr>
                    <w:t xml:space="preserve">-100,00%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sz w:val="17"/>
                      <w:szCs w:val="17"/>
                    </w:rPr>
                  </w:pPr>
                  <w:r>
                    <w:rPr>
                      <w:sz w:val="17"/>
                      <w:szCs w:val="17"/>
                    </w:rPr>
                    <w:t xml:space="preserve">Compte de régularisation passif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Total passif* </w:t>
                  </w:r>
                </w:p>
              </w:tc>
              <w:tc>
                <w:tcPr>
                  <w:tcW w:w="0" w:type="auto"/>
                  <w:vAlign w:val="center"/>
                  <w:hideMark/>
                </w:tcPr>
                <w:p w:rsidR="00716B5C" w:rsidRDefault="00716B5C">
                  <w:pPr>
                    <w:jc w:val="right"/>
                    <w:rPr>
                      <w:b/>
                      <w:bCs/>
                      <w:sz w:val="17"/>
                      <w:szCs w:val="17"/>
                    </w:rPr>
                  </w:pPr>
                  <w:r>
                    <w:rPr>
                      <w:b/>
                      <w:bCs/>
                      <w:sz w:val="17"/>
                      <w:szCs w:val="17"/>
                    </w:rPr>
                    <w:t xml:space="preserve"> 1.606.000 </w:t>
                  </w:r>
                </w:p>
              </w:tc>
              <w:tc>
                <w:tcPr>
                  <w:tcW w:w="0" w:type="auto"/>
                  <w:vAlign w:val="center"/>
                  <w:hideMark/>
                </w:tcPr>
                <w:p w:rsidR="00716B5C" w:rsidRDefault="00716B5C">
                  <w:pPr>
                    <w:jc w:val="right"/>
                    <w:rPr>
                      <w:b/>
                      <w:bCs/>
                      <w:sz w:val="17"/>
                      <w:szCs w:val="17"/>
                    </w:rPr>
                  </w:pPr>
                  <w:r>
                    <w:rPr>
                      <w:b/>
                      <w:bCs/>
                      <w:sz w:val="17"/>
                      <w:szCs w:val="17"/>
                    </w:rPr>
                    <w:t xml:space="preserve"> 2.173.000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- 567.000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-26,09% </w:t>
                  </w:r>
                </w:p>
              </w:tc>
            </w:tr>
          </w:tbl>
          <w:p w:rsidR="00716B5C" w:rsidRDefault="00716B5C">
            <w:pPr>
              <w:rPr>
                <w:sz w:val="24"/>
                <w:szCs w:val="24"/>
              </w:rPr>
            </w:pPr>
          </w:p>
        </w:tc>
      </w:tr>
    </w:tbl>
    <w:p w:rsidR="00716B5C" w:rsidRDefault="00716B5C" w:rsidP="00716B5C"/>
    <w:p w:rsidR="00716B5C" w:rsidRPr="00716B5C" w:rsidRDefault="00716B5C" w:rsidP="00716B5C">
      <w:pPr>
        <w:spacing w:before="100" w:beforeAutospacing="1" w:after="75" w:line="240" w:lineRule="auto"/>
        <w:outlineLvl w:val="0"/>
        <w:rPr>
          <w:rFonts w:ascii="Lucida Sans" w:eastAsia="Times New Roman" w:hAnsi="Lucida Sans" w:cs="Times New Roman"/>
          <w:b/>
          <w:bCs/>
          <w:color w:val="548BC1"/>
          <w:kern w:val="36"/>
          <w:sz w:val="23"/>
          <w:szCs w:val="23"/>
          <w:lang w:eastAsia="fr-FR"/>
        </w:rPr>
      </w:pPr>
      <w:r w:rsidRPr="00716B5C">
        <w:rPr>
          <w:rFonts w:ascii="Lucida Sans" w:eastAsia="Times New Roman" w:hAnsi="Lucida Sans" w:cs="Times New Roman"/>
          <w:b/>
          <w:bCs/>
          <w:color w:val="548BC1"/>
          <w:kern w:val="36"/>
          <w:sz w:val="23"/>
          <w:szCs w:val="23"/>
          <w:lang w:eastAsia="fr-FR"/>
        </w:rPr>
        <w:t>BARTEC</w:t>
      </w:r>
    </w:p>
    <w:p w:rsidR="0033559E" w:rsidRDefault="00716B5C" w:rsidP="00716B5C">
      <w:pPr>
        <w:rPr>
          <w:rFonts w:ascii="Times New Roman" w:eastAsia="Times New Roman" w:hAnsi="Times New Roman" w:cs="Times New Roman"/>
          <w:sz w:val="24"/>
          <w:szCs w:val="24"/>
          <w:lang w:eastAsia="fr-FR"/>
        </w:rPr>
      </w:pPr>
      <w:r w:rsidRPr="00716B5C">
        <w:rPr>
          <w:rFonts w:ascii="Times New Roman" w:eastAsia="Times New Roman" w:hAnsi="Times New Roman" w:cs="Times New Roman"/>
          <w:sz w:val="24"/>
          <w:szCs w:val="24"/>
          <w:lang w:eastAsia="fr-FR"/>
        </w:rPr>
        <w:t>RCS Lyon B 378 784</w:t>
      </w:r>
      <w:r>
        <w:rPr>
          <w:rFonts w:ascii="Times New Roman" w:eastAsia="Times New Roman" w:hAnsi="Times New Roman" w:cs="Times New Roman"/>
          <w:sz w:val="24"/>
          <w:szCs w:val="24"/>
          <w:lang w:eastAsia="fr-FR"/>
        </w:rPr>
        <w:t> </w:t>
      </w:r>
      <w:r w:rsidRPr="00716B5C">
        <w:rPr>
          <w:rFonts w:ascii="Times New Roman" w:eastAsia="Times New Roman" w:hAnsi="Times New Roman" w:cs="Times New Roman"/>
          <w:sz w:val="24"/>
          <w:szCs w:val="24"/>
          <w:lang w:eastAsia="fr-FR"/>
        </w:rPr>
        <w:t>623</w:t>
      </w:r>
    </w:p>
    <w:p w:rsidR="00716B5C" w:rsidRDefault="00716B5C" w:rsidP="00716B5C">
      <w:pPr>
        <w:rPr>
          <w:rFonts w:ascii="Times New Roman" w:eastAsia="Times New Roman" w:hAnsi="Times New Roman" w:cs="Times New Roman"/>
          <w:sz w:val="24"/>
          <w:szCs w:val="24"/>
          <w:lang w:eastAsia="fr-FR"/>
        </w:rPr>
      </w:pPr>
      <w:hyperlink r:id="rId11" w:history="1">
        <w:r w:rsidRPr="00C1644D">
          <w:rPr>
            <w:rStyle w:val="Lienhypertexte"/>
            <w:rFonts w:ascii="Times New Roman" w:eastAsia="Times New Roman" w:hAnsi="Times New Roman" w:cs="Times New Roman"/>
            <w:sz w:val="24"/>
            <w:szCs w:val="24"/>
            <w:lang w:eastAsia="fr-FR"/>
          </w:rPr>
          <w:t>http://www.bartec.eu/index2.html</w:t>
        </w:r>
      </w:hyperlink>
    </w:p>
    <w:p w:rsidR="00716B5C" w:rsidRDefault="00716B5C" w:rsidP="00716B5C">
      <w:pP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composants</w:t>
      </w:r>
      <w:proofErr w:type="gramEnd"/>
      <w:r>
        <w:rPr>
          <w:rFonts w:ascii="Times New Roman" w:eastAsia="Times New Roman" w:hAnsi="Times New Roman" w:cs="Times New Roman"/>
          <w:sz w:val="24"/>
          <w:szCs w:val="24"/>
          <w:lang w:eastAsia="fr-FR"/>
        </w:rPr>
        <w:t xml:space="preserve"> pour la construction, câbles, fers à béton spéciaux</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shd w:val="clear" w:color="auto" w:fill="E7E7E7"/>
            <w:vAlign w:val="center"/>
            <w:hideMark/>
          </w:tcPr>
          <w:tbl>
            <w:tblPr>
              <w:tblW w:w="5000" w:type="pct"/>
              <w:tblCellSpacing w:w="0" w:type="dxa"/>
              <w:tblCellMar>
                <w:left w:w="0" w:type="dxa"/>
                <w:right w:w="0" w:type="dxa"/>
              </w:tblCellMar>
              <w:tblLook w:val="04A0" w:firstRow="1" w:lastRow="0" w:firstColumn="1" w:lastColumn="0" w:noHBand="0" w:noVBand="1"/>
            </w:tblPr>
            <w:tblGrid>
              <w:gridCol w:w="5840"/>
              <w:gridCol w:w="3232"/>
            </w:tblGrid>
            <w:tr w:rsidR="00716B5C">
              <w:trPr>
                <w:tblCellSpacing w:w="0" w:type="dxa"/>
              </w:trPr>
              <w:tc>
                <w:tcPr>
                  <w:tcW w:w="0" w:type="auto"/>
                  <w:vAlign w:val="center"/>
                  <w:hideMark/>
                </w:tcPr>
                <w:p w:rsidR="00716B5C" w:rsidRDefault="00716B5C">
                  <w:pPr>
                    <w:rPr>
                      <w:sz w:val="24"/>
                      <w:szCs w:val="24"/>
                    </w:rPr>
                  </w:pPr>
                  <w:r>
                    <w:t xml:space="preserve">Actif </w:t>
                  </w:r>
                </w:p>
              </w:tc>
              <w:tc>
                <w:tcPr>
                  <w:tcW w:w="0" w:type="auto"/>
                  <w:vAlign w:val="center"/>
                  <w:hideMark/>
                </w:tcPr>
                <w:tbl>
                  <w:tblPr>
                    <w:tblW w:w="0" w:type="auto"/>
                    <w:jc w:val="right"/>
                    <w:tblCellSpacing w:w="7" w:type="dxa"/>
                    <w:tblCellMar>
                      <w:top w:w="15" w:type="dxa"/>
                      <w:left w:w="15" w:type="dxa"/>
                      <w:bottom w:w="15" w:type="dxa"/>
                      <w:right w:w="15" w:type="dxa"/>
                    </w:tblCellMar>
                    <w:tblLook w:val="04A0" w:firstRow="1" w:lastRow="0" w:firstColumn="1" w:lastColumn="0" w:noHBand="0" w:noVBand="1"/>
                  </w:tblPr>
                  <w:tblGrid>
                    <w:gridCol w:w="57"/>
                    <w:gridCol w:w="171"/>
                  </w:tblGrid>
                  <w:tr w:rsidR="00716B5C">
                    <w:trPr>
                      <w:tblCellSpacing w:w="7" w:type="dxa"/>
                      <w:jc w:val="right"/>
                      <w:hidden/>
                    </w:trPr>
                    <w:tc>
                      <w:tcPr>
                        <w:tcW w:w="0" w:type="auto"/>
                        <w:vAlign w:val="center"/>
                        <w:hideMark/>
                      </w:tcPr>
                      <w:p w:rsidR="00716B5C" w:rsidRDefault="00716B5C" w:rsidP="00716B5C">
                        <w:pPr>
                          <w:rPr>
                            <w:vanish/>
                            <w:sz w:val="15"/>
                            <w:szCs w:val="15"/>
                          </w:rPr>
                        </w:pPr>
                        <w:hyperlink r:id="rId12" w:history="1">
                          <w:r>
                            <w:rPr>
                              <w:rStyle w:val="Lienhypertexte"/>
                              <w:vanish/>
                              <w:color w:val="444444"/>
                              <w:sz w:val="15"/>
                              <w:szCs w:val="15"/>
                            </w:rPr>
                            <w:t>HAUT DE PAGE</w:t>
                          </w:r>
                        </w:hyperlink>
                        <w:r>
                          <w:rPr>
                            <w:vanish/>
                            <w:sz w:val="15"/>
                            <w:szCs w:val="15"/>
                          </w:rPr>
                          <w:t xml:space="preserve">  </w:t>
                        </w:r>
                      </w:p>
                    </w:tc>
                    <w:tc>
                      <w:tcPr>
                        <w:tcW w:w="0" w:type="auto"/>
                        <w:vAlign w:val="center"/>
                        <w:hideMark/>
                      </w:tcPr>
                      <w:p w:rsidR="00716B5C" w:rsidRDefault="00716B5C">
                        <w:pPr>
                          <w:rPr>
                            <w:sz w:val="24"/>
                            <w:szCs w:val="24"/>
                          </w:rPr>
                        </w:pPr>
                        <w:r>
                          <w:rPr>
                            <w:noProof/>
                            <w:color w:val="0000FF"/>
                            <w:lang w:eastAsia="fr-FR"/>
                          </w:rPr>
                          <w:drawing>
                            <wp:inline distT="0" distB="0" distL="0" distR="0">
                              <wp:extent cx="66675" cy="47625"/>
                              <wp:effectExtent l="0" t="0" r="9525" b="9525"/>
                              <wp:docPr id="8" name="Image 8" descr="haut d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ut de pag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p>
                    </w:tc>
                  </w:tr>
                </w:tbl>
                <w:p w:rsidR="00716B5C" w:rsidRDefault="00716B5C">
                  <w:pPr>
                    <w:jc w:val="right"/>
                    <w:rPr>
                      <w:sz w:val="24"/>
                      <w:szCs w:val="24"/>
                    </w:rPr>
                  </w:pPr>
                </w:p>
              </w:tc>
            </w:tr>
          </w:tbl>
          <w:p w:rsidR="00716B5C" w:rsidRDefault="00716B5C">
            <w:pPr>
              <w:rPr>
                <w:b/>
                <w:bCs/>
                <w:color w:val="444444"/>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vAlign w:val="center"/>
            <w:hideMark/>
          </w:tcPr>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2873"/>
              <w:gridCol w:w="1617"/>
              <w:gridCol w:w="1617"/>
              <w:gridCol w:w="1617"/>
              <w:gridCol w:w="1257"/>
            </w:tblGrid>
            <w:tr w:rsidR="00716B5C">
              <w:trPr>
                <w:trHeight w:val="510"/>
                <w:tblCellSpacing w:w="0" w:type="dxa"/>
              </w:trPr>
              <w:tc>
                <w:tcPr>
                  <w:tcW w:w="1600" w:type="pct"/>
                  <w:vAlign w:val="center"/>
                  <w:hideMark/>
                </w:tcPr>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31-12-2009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31-12-2008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Variation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7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Evolution %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w:t>
                        </w:r>
                      </w:p>
                    </w:tc>
                  </w:tr>
                </w:tbl>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Actif immobilisé* </w:t>
                  </w:r>
                </w:p>
              </w:tc>
              <w:tc>
                <w:tcPr>
                  <w:tcW w:w="0" w:type="auto"/>
                  <w:vAlign w:val="center"/>
                  <w:hideMark/>
                </w:tcPr>
                <w:p w:rsidR="00716B5C" w:rsidRDefault="00716B5C">
                  <w:pPr>
                    <w:jc w:val="right"/>
                    <w:rPr>
                      <w:b/>
                      <w:bCs/>
                      <w:sz w:val="17"/>
                      <w:szCs w:val="17"/>
                    </w:rPr>
                  </w:pPr>
                  <w:r>
                    <w:rPr>
                      <w:b/>
                      <w:bCs/>
                      <w:sz w:val="17"/>
                      <w:szCs w:val="17"/>
                    </w:rPr>
                    <w:t xml:space="preserve"> 127.000 </w:t>
                  </w:r>
                </w:p>
              </w:tc>
              <w:tc>
                <w:tcPr>
                  <w:tcW w:w="0" w:type="auto"/>
                  <w:vAlign w:val="center"/>
                  <w:hideMark/>
                </w:tcPr>
                <w:p w:rsidR="00716B5C" w:rsidRDefault="00716B5C">
                  <w:pPr>
                    <w:jc w:val="right"/>
                    <w:rPr>
                      <w:b/>
                      <w:bCs/>
                      <w:sz w:val="17"/>
                      <w:szCs w:val="17"/>
                    </w:rPr>
                  </w:pPr>
                  <w:r>
                    <w:rPr>
                      <w:b/>
                      <w:bCs/>
                      <w:sz w:val="17"/>
                      <w:szCs w:val="17"/>
                    </w:rPr>
                    <w:t xml:space="preserve"> 110.000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17.000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+15,45%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incorporel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corporel </w:t>
                  </w:r>
                </w:p>
              </w:tc>
              <w:tc>
                <w:tcPr>
                  <w:tcW w:w="0" w:type="auto"/>
                  <w:vAlign w:val="center"/>
                  <w:hideMark/>
                </w:tcPr>
                <w:p w:rsidR="00716B5C" w:rsidRDefault="00716B5C">
                  <w:pPr>
                    <w:jc w:val="right"/>
                    <w:rPr>
                      <w:sz w:val="17"/>
                      <w:szCs w:val="17"/>
                    </w:rPr>
                  </w:pPr>
                  <w:r>
                    <w:rPr>
                      <w:sz w:val="17"/>
                      <w:szCs w:val="17"/>
                    </w:rPr>
                    <w:t xml:space="preserve"> 127.000 </w:t>
                  </w:r>
                </w:p>
              </w:tc>
              <w:tc>
                <w:tcPr>
                  <w:tcW w:w="0" w:type="auto"/>
                  <w:vAlign w:val="center"/>
                  <w:hideMark/>
                </w:tcPr>
                <w:p w:rsidR="00716B5C" w:rsidRDefault="00716B5C">
                  <w:pPr>
                    <w:jc w:val="right"/>
                    <w:rPr>
                      <w:sz w:val="17"/>
                      <w:szCs w:val="17"/>
                    </w:rPr>
                  </w:pPr>
                  <w:r>
                    <w:rPr>
                      <w:sz w:val="17"/>
                      <w:szCs w:val="17"/>
                    </w:rPr>
                    <w:t xml:space="preserve"> 110.000 </w:t>
                  </w:r>
                </w:p>
              </w:tc>
              <w:tc>
                <w:tcPr>
                  <w:tcW w:w="0" w:type="auto"/>
                  <w:vAlign w:val="center"/>
                  <w:hideMark/>
                </w:tcPr>
                <w:p w:rsidR="00716B5C" w:rsidRDefault="00716B5C">
                  <w:pPr>
                    <w:jc w:val="right"/>
                    <w:rPr>
                      <w:color w:val="000000"/>
                      <w:sz w:val="17"/>
                      <w:szCs w:val="17"/>
                    </w:rPr>
                  </w:pPr>
                  <w:r>
                    <w:rPr>
                      <w:color w:val="000000"/>
                      <w:sz w:val="17"/>
                      <w:szCs w:val="17"/>
                    </w:rPr>
                    <w:t xml:space="preserve"> 17.000 </w:t>
                  </w:r>
                </w:p>
              </w:tc>
              <w:tc>
                <w:tcPr>
                  <w:tcW w:w="0" w:type="auto"/>
                  <w:vAlign w:val="center"/>
                  <w:hideMark/>
                </w:tcPr>
                <w:p w:rsidR="00716B5C" w:rsidRDefault="00716B5C">
                  <w:pPr>
                    <w:jc w:val="right"/>
                    <w:rPr>
                      <w:color w:val="000000"/>
                      <w:sz w:val="17"/>
                      <w:szCs w:val="17"/>
                    </w:rPr>
                  </w:pPr>
                  <w:r>
                    <w:rPr>
                      <w:color w:val="000000"/>
                      <w:sz w:val="17"/>
                      <w:szCs w:val="17"/>
                    </w:rPr>
                    <w:t xml:space="preserve">+15,45%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financier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Actif circulant* </w:t>
                  </w:r>
                </w:p>
              </w:tc>
              <w:tc>
                <w:tcPr>
                  <w:tcW w:w="0" w:type="auto"/>
                  <w:vAlign w:val="center"/>
                  <w:hideMark/>
                </w:tcPr>
                <w:p w:rsidR="00716B5C" w:rsidRDefault="00716B5C">
                  <w:pPr>
                    <w:jc w:val="right"/>
                    <w:rPr>
                      <w:b/>
                      <w:bCs/>
                      <w:sz w:val="17"/>
                      <w:szCs w:val="17"/>
                    </w:rPr>
                  </w:pPr>
                  <w:r>
                    <w:rPr>
                      <w:b/>
                      <w:bCs/>
                      <w:sz w:val="17"/>
                      <w:szCs w:val="17"/>
                    </w:rPr>
                    <w:t xml:space="preserve"> 2.180.000 </w:t>
                  </w:r>
                </w:p>
              </w:tc>
              <w:tc>
                <w:tcPr>
                  <w:tcW w:w="0" w:type="auto"/>
                  <w:vAlign w:val="center"/>
                  <w:hideMark/>
                </w:tcPr>
                <w:p w:rsidR="00716B5C" w:rsidRDefault="00716B5C">
                  <w:pPr>
                    <w:jc w:val="right"/>
                    <w:rPr>
                      <w:b/>
                      <w:bCs/>
                      <w:sz w:val="17"/>
                      <w:szCs w:val="17"/>
                    </w:rPr>
                  </w:pPr>
                  <w:r>
                    <w:rPr>
                      <w:b/>
                      <w:bCs/>
                      <w:sz w:val="17"/>
                      <w:szCs w:val="17"/>
                    </w:rPr>
                    <w:t xml:space="preserve"> 2.151.000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29.000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+1,35%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stocks </w:t>
                  </w:r>
                </w:p>
              </w:tc>
              <w:tc>
                <w:tcPr>
                  <w:tcW w:w="0" w:type="auto"/>
                  <w:vAlign w:val="center"/>
                  <w:hideMark/>
                </w:tcPr>
                <w:p w:rsidR="00716B5C" w:rsidRDefault="00716B5C">
                  <w:pPr>
                    <w:jc w:val="right"/>
                    <w:rPr>
                      <w:sz w:val="17"/>
                      <w:szCs w:val="17"/>
                    </w:rPr>
                  </w:pPr>
                  <w:r>
                    <w:rPr>
                      <w:sz w:val="17"/>
                      <w:szCs w:val="17"/>
                    </w:rPr>
                    <w:t xml:space="preserve"> 787.000 </w:t>
                  </w:r>
                </w:p>
              </w:tc>
              <w:tc>
                <w:tcPr>
                  <w:tcW w:w="0" w:type="auto"/>
                  <w:vAlign w:val="center"/>
                  <w:hideMark/>
                </w:tcPr>
                <w:p w:rsidR="00716B5C" w:rsidRDefault="00716B5C">
                  <w:pPr>
                    <w:jc w:val="right"/>
                    <w:rPr>
                      <w:sz w:val="17"/>
                      <w:szCs w:val="17"/>
                    </w:rPr>
                  </w:pPr>
                  <w:r>
                    <w:rPr>
                      <w:sz w:val="17"/>
                      <w:szCs w:val="17"/>
                    </w:rPr>
                    <w:t xml:space="preserve"> 769.000 </w:t>
                  </w:r>
                </w:p>
              </w:tc>
              <w:tc>
                <w:tcPr>
                  <w:tcW w:w="0" w:type="auto"/>
                  <w:vAlign w:val="center"/>
                  <w:hideMark/>
                </w:tcPr>
                <w:p w:rsidR="00716B5C" w:rsidRDefault="00716B5C">
                  <w:pPr>
                    <w:jc w:val="right"/>
                    <w:rPr>
                      <w:color w:val="000000"/>
                      <w:sz w:val="17"/>
                      <w:szCs w:val="17"/>
                    </w:rPr>
                  </w:pPr>
                  <w:r>
                    <w:rPr>
                      <w:color w:val="000000"/>
                      <w:sz w:val="17"/>
                      <w:szCs w:val="17"/>
                    </w:rPr>
                    <w:t xml:space="preserve"> 18.000 </w:t>
                  </w:r>
                </w:p>
              </w:tc>
              <w:tc>
                <w:tcPr>
                  <w:tcW w:w="0" w:type="auto"/>
                  <w:vAlign w:val="center"/>
                  <w:hideMark/>
                </w:tcPr>
                <w:p w:rsidR="00716B5C" w:rsidRDefault="00716B5C">
                  <w:pPr>
                    <w:jc w:val="right"/>
                    <w:rPr>
                      <w:color w:val="000000"/>
                      <w:sz w:val="17"/>
                      <w:szCs w:val="17"/>
                    </w:rPr>
                  </w:pPr>
                  <w:r>
                    <w:rPr>
                      <w:color w:val="000000"/>
                      <w:sz w:val="17"/>
                      <w:szCs w:val="17"/>
                    </w:rPr>
                    <w:t xml:space="preserve">+2,34% </w:t>
                  </w:r>
                </w:p>
              </w:tc>
            </w:tr>
            <w:tr w:rsidR="00716B5C">
              <w:trPr>
                <w:tblCellSpacing w:w="0" w:type="dxa"/>
              </w:trPr>
              <w:tc>
                <w:tcPr>
                  <w:tcW w:w="0" w:type="auto"/>
                  <w:vAlign w:val="center"/>
                  <w:hideMark/>
                </w:tcPr>
                <w:p w:rsidR="00716B5C" w:rsidRDefault="00716B5C">
                  <w:pPr>
                    <w:rPr>
                      <w:sz w:val="17"/>
                      <w:szCs w:val="17"/>
                    </w:rPr>
                  </w:pPr>
                  <w:r>
                    <w:rPr>
                      <w:sz w:val="17"/>
                      <w:szCs w:val="17"/>
                    </w:rPr>
                    <w:lastRenderedPageBreak/>
                    <w:t xml:space="preserve">       - dont créances </w:t>
                  </w:r>
                </w:p>
              </w:tc>
              <w:tc>
                <w:tcPr>
                  <w:tcW w:w="0" w:type="auto"/>
                  <w:vAlign w:val="center"/>
                  <w:hideMark/>
                </w:tcPr>
                <w:p w:rsidR="00716B5C" w:rsidRDefault="00716B5C">
                  <w:pPr>
                    <w:jc w:val="right"/>
                    <w:rPr>
                      <w:sz w:val="17"/>
                      <w:szCs w:val="17"/>
                    </w:rPr>
                  </w:pPr>
                  <w:r>
                    <w:rPr>
                      <w:sz w:val="17"/>
                      <w:szCs w:val="17"/>
                    </w:rPr>
                    <w:t xml:space="preserve"> 1.079.000 </w:t>
                  </w:r>
                </w:p>
              </w:tc>
              <w:tc>
                <w:tcPr>
                  <w:tcW w:w="0" w:type="auto"/>
                  <w:vAlign w:val="center"/>
                  <w:hideMark/>
                </w:tcPr>
                <w:p w:rsidR="00716B5C" w:rsidRDefault="00716B5C">
                  <w:pPr>
                    <w:jc w:val="right"/>
                    <w:rPr>
                      <w:sz w:val="17"/>
                      <w:szCs w:val="17"/>
                    </w:rPr>
                  </w:pPr>
                  <w:r>
                    <w:rPr>
                      <w:sz w:val="17"/>
                      <w:szCs w:val="17"/>
                    </w:rPr>
                    <w:t xml:space="preserve"> 481.000 </w:t>
                  </w:r>
                </w:p>
              </w:tc>
              <w:tc>
                <w:tcPr>
                  <w:tcW w:w="0" w:type="auto"/>
                  <w:vAlign w:val="center"/>
                  <w:hideMark/>
                </w:tcPr>
                <w:p w:rsidR="00716B5C" w:rsidRDefault="00716B5C">
                  <w:pPr>
                    <w:jc w:val="right"/>
                    <w:rPr>
                      <w:color w:val="000000"/>
                      <w:sz w:val="17"/>
                      <w:szCs w:val="17"/>
                    </w:rPr>
                  </w:pPr>
                  <w:r>
                    <w:rPr>
                      <w:color w:val="000000"/>
                      <w:sz w:val="17"/>
                      <w:szCs w:val="17"/>
                    </w:rPr>
                    <w:t xml:space="preserve"> 598.000 </w:t>
                  </w:r>
                </w:p>
              </w:tc>
              <w:tc>
                <w:tcPr>
                  <w:tcW w:w="0" w:type="auto"/>
                  <w:vAlign w:val="center"/>
                  <w:hideMark/>
                </w:tcPr>
                <w:p w:rsidR="00716B5C" w:rsidRDefault="00716B5C">
                  <w:pPr>
                    <w:jc w:val="right"/>
                    <w:rPr>
                      <w:color w:val="000000"/>
                      <w:sz w:val="17"/>
                      <w:szCs w:val="17"/>
                    </w:rPr>
                  </w:pPr>
                  <w:r>
                    <w:rPr>
                      <w:color w:val="000000"/>
                      <w:sz w:val="17"/>
                      <w:szCs w:val="17"/>
                    </w:rPr>
                    <w:t xml:space="preserve">+124,32%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disponibilités </w:t>
                  </w:r>
                </w:p>
              </w:tc>
              <w:tc>
                <w:tcPr>
                  <w:tcW w:w="0" w:type="auto"/>
                  <w:vAlign w:val="center"/>
                  <w:hideMark/>
                </w:tcPr>
                <w:p w:rsidR="00716B5C" w:rsidRDefault="00716B5C">
                  <w:pPr>
                    <w:jc w:val="right"/>
                    <w:rPr>
                      <w:sz w:val="17"/>
                      <w:szCs w:val="17"/>
                    </w:rPr>
                  </w:pPr>
                  <w:r>
                    <w:rPr>
                      <w:sz w:val="17"/>
                      <w:szCs w:val="17"/>
                    </w:rPr>
                    <w:t xml:space="preserve"> 294.000 </w:t>
                  </w:r>
                </w:p>
              </w:tc>
              <w:tc>
                <w:tcPr>
                  <w:tcW w:w="0" w:type="auto"/>
                  <w:vAlign w:val="center"/>
                  <w:hideMark/>
                </w:tcPr>
                <w:p w:rsidR="00716B5C" w:rsidRDefault="00716B5C">
                  <w:pPr>
                    <w:jc w:val="right"/>
                    <w:rPr>
                      <w:sz w:val="17"/>
                      <w:szCs w:val="17"/>
                    </w:rPr>
                  </w:pPr>
                  <w:r>
                    <w:rPr>
                      <w:sz w:val="17"/>
                      <w:szCs w:val="17"/>
                    </w:rPr>
                    <w:t xml:space="preserve"> 881.000 </w:t>
                  </w:r>
                </w:p>
              </w:tc>
              <w:tc>
                <w:tcPr>
                  <w:tcW w:w="0" w:type="auto"/>
                  <w:vAlign w:val="center"/>
                  <w:hideMark/>
                </w:tcPr>
                <w:p w:rsidR="00716B5C" w:rsidRDefault="00716B5C">
                  <w:pPr>
                    <w:jc w:val="right"/>
                    <w:rPr>
                      <w:color w:val="000000"/>
                      <w:sz w:val="17"/>
                      <w:szCs w:val="17"/>
                    </w:rPr>
                  </w:pPr>
                  <w:r>
                    <w:rPr>
                      <w:color w:val="000000"/>
                      <w:sz w:val="17"/>
                      <w:szCs w:val="17"/>
                    </w:rPr>
                    <w:t xml:space="preserve"> - 587.000 </w:t>
                  </w:r>
                </w:p>
              </w:tc>
              <w:tc>
                <w:tcPr>
                  <w:tcW w:w="0" w:type="auto"/>
                  <w:vAlign w:val="center"/>
                  <w:hideMark/>
                </w:tcPr>
                <w:p w:rsidR="00716B5C" w:rsidRDefault="00716B5C">
                  <w:pPr>
                    <w:jc w:val="right"/>
                    <w:rPr>
                      <w:color w:val="000000"/>
                      <w:sz w:val="17"/>
                      <w:szCs w:val="17"/>
                    </w:rPr>
                  </w:pPr>
                  <w:r>
                    <w:rPr>
                      <w:color w:val="000000"/>
                      <w:sz w:val="17"/>
                      <w:szCs w:val="17"/>
                    </w:rPr>
                    <w:t xml:space="preserve">-66,63%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sz w:val="17"/>
                      <w:szCs w:val="17"/>
                    </w:rPr>
                  </w:pPr>
                  <w:r>
                    <w:rPr>
                      <w:sz w:val="17"/>
                      <w:szCs w:val="17"/>
                    </w:rPr>
                    <w:t xml:space="preserve">Compte de régularisation actif </w:t>
                  </w:r>
                </w:p>
              </w:tc>
              <w:tc>
                <w:tcPr>
                  <w:tcW w:w="0" w:type="auto"/>
                  <w:vAlign w:val="center"/>
                  <w:hideMark/>
                </w:tcPr>
                <w:p w:rsidR="00716B5C" w:rsidRDefault="00716B5C">
                  <w:pPr>
                    <w:jc w:val="right"/>
                    <w:rPr>
                      <w:sz w:val="17"/>
                      <w:szCs w:val="17"/>
                    </w:rPr>
                  </w:pPr>
                  <w:r>
                    <w:rPr>
                      <w:sz w:val="17"/>
                      <w:szCs w:val="17"/>
                    </w:rPr>
                    <w:t xml:space="preserve"> 21.000 </w:t>
                  </w:r>
                </w:p>
              </w:tc>
              <w:tc>
                <w:tcPr>
                  <w:tcW w:w="0" w:type="auto"/>
                  <w:vAlign w:val="center"/>
                  <w:hideMark/>
                </w:tcPr>
                <w:p w:rsidR="00716B5C" w:rsidRDefault="00716B5C">
                  <w:pPr>
                    <w:jc w:val="right"/>
                    <w:rPr>
                      <w:sz w:val="17"/>
                      <w:szCs w:val="17"/>
                    </w:rPr>
                  </w:pPr>
                  <w:r>
                    <w:rPr>
                      <w:sz w:val="17"/>
                      <w:szCs w:val="17"/>
                    </w:rPr>
                    <w:t xml:space="preserve"> 97.000 </w:t>
                  </w:r>
                </w:p>
              </w:tc>
              <w:tc>
                <w:tcPr>
                  <w:tcW w:w="0" w:type="auto"/>
                  <w:vAlign w:val="center"/>
                  <w:hideMark/>
                </w:tcPr>
                <w:p w:rsidR="00716B5C" w:rsidRDefault="00716B5C">
                  <w:pPr>
                    <w:jc w:val="right"/>
                    <w:rPr>
                      <w:color w:val="000000"/>
                      <w:sz w:val="17"/>
                      <w:szCs w:val="17"/>
                    </w:rPr>
                  </w:pPr>
                  <w:r>
                    <w:rPr>
                      <w:color w:val="000000"/>
                      <w:sz w:val="17"/>
                      <w:szCs w:val="17"/>
                    </w:rPr>
                    <w:t xml:space="preserve"> - 76.000 </w:t>
                  </w:r>
                </w:p>
              </w:tc>
              <w:tc>
                <w:tcPr>
                  <w:tcW w:w="0" w:type="auto"/>
                  <w:vAlign w:val="center"/>
                  <w:hideMark/>
                </w:tcPr>
                <w:p w:rsidR="00716B5C" w:rsidRDefault="00716B5C">
                  <w:pPr>
                    <w:jc w:val="right"/>
                    <w:rPr>
                      <w:color w:val="000000"/>
                      <w:sz w:val="17"/>
                      <w:szCs w:val="17"/>
                    </w:rPr>
                  </w:pPr>
                  <w:r>
                    <w:rPr>
                      <w:color w:val="000000"/>
                      <w:sz w:val="17"/>
                      <w:szCs w:val="17"/>
                    </w:rPr>
                    <w:t xml:space="preserve">-78,35%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Total actif </w:t>
                  </w:r>
                </w:p>
              </w:tc>
              <w:tc>
                <w:tcPr>
                  <w:tcW w:w="0" w:type="auto"/>
                  <w:vAlign w:val="center"/>
                  <w:hideMark/>
                </w:tcPr>
                <w:p w:rsidR="00716B5C" w:rsidRDefault="00716B5C">
                  <w:pPr>
                    <w:jc w:val="right"/>
                    <w:rPr>
                      <w:b/>
                      <w:bCs/>
                      <w:sz w:val="17"/>
                      <w:szCs w:val="17"/>
                    </w:rPr>
                  </w:pPr>
                  <w:r>
                    <w:rPr>
                      <w:b/>
                      <w:bCs/>
                      <w:sz w:val="17"/>
                      <w:szCs w:val="17"/>
                    </w:rPr>
                    <w:t xml:space="preserve"> 2.328.000 </w:t>
                  </w:r>
                </w:p>
              </w:tc>
              <w:tc>
                <w:tcPr>
                  <w:tcW w:w="0" w:type="auto"/>
                  <w:vAlign w:val="center"/>
                  <w:hideMark/>
                </w:tcPr>
                <w:p w:rsidR="00716B5C" w:rsidRDefault="00716B5C">
                  <w:pPr>
                    <w:jc w:val="right"/>
                    <w:rPr>
                      <w:b/>
                      <w:bCs/>
                      <w:sz w:val="17"/>
                      <w:szCs w:val="17"/>
                    </w:rPr>
                  </w:pPr>
                  <w:r>
                    <w:rPr>
                      <w:b/>
                      <w:bCs/>
                      <w:sz w:val="17"/>
                      <w:szCs w:val="17"/>
                    </w:rPr>
                    <w:t xml:space="preserve"> 2.358.000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- 30.000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-1,27%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spacing w:after="240"/>
                    <w:rPr>
                      <w:sz w:val="17"/>
                      <w:szCs w:val="17"/>
                    </w:rPr>
                  </w:pPr>
                  <w:r>
                    <w:rPr>
                      <w:noProof/>
                      <w:sz w:val="17"/>
                      <w:szCs w:val="17"/>
                      <w:lang w:eastAsia="fr-FR"/>
                    </w:rPr>
                    <w:drawing>
                      <wp:inline distT="0" distB="0" distL="0" distR="0">
                        <wp:extent cx="57150" cy="85725"/>
                        <wp:effectExtent l="0" t="0" r="0" b="9525"/>
                        <wp:docPr id="7" name="Image 7" descr="commander les comptes comp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ander les comptes compl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hyperlink r:id="rId13" w:history="1">
                    <w:r>
                      <w:rPr>
                        <w:rStyle w:val="Lienhypertexte"/>
                        <w:sz w:val="17"/>
                        <w:szCs w:val="17"/>
                      </w:rPr>
                      <w:t>Commander les comptes complets</w:t>
                    </w:r>
                  </w:hyperlink>
                  <w:r>
                    <w:rPr>
                      <w:sz w:val="17"/>
                      <w:szCs w:val="17"/>
                    </w:rPr>
                    <w:t xml:space="preserve"> </w:t>
                  </w:r>
                </w:p>
              </w:tc>
            </w:tr>
          </w:tbl>
          <w:p w:rsidR="00716B5C" w:rsidRDefault="00716B5C">
            <w:pPr>
              <w:rPr>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shd w:val="clear" w:color="auto" w:fill="E7E7E7"/>
            <w:vAlign w:val="center"/>
            <w:hideMark/>
          </w:tcPr>
          <w:tbl>
            <w:tblPr>
              <w:tblW w:w="5000" w:type="pct"/>
              <w:tblCellSpacing w:w="0" w:type="dxa"/>
              <w:tblCellMar>
                <w:left w:w="0" w:type="dxa"/>
                <w:right w:w="0" w:type="dxa"/>
              </w:tblCellMar>
              <w:tblLook w:val="04A0" w:firstRow="1" w:lastRow="0" w:firstColumn="1" w:lastColumn="0" w:noHBand="0" w:noVBand="1"/>
            </w:tblPr>
            <w:tblGrid>
              <w:gridCol w:w="6265"/>
              <w:gridCol w:w="2807"/>
            </w:tblGrid>
            <w:tr w:rsidR="00716B5C">
              <w:trPr>
                <w:tblCellSpacing w:w="0" w:type="dxa"/>
              </w:trPr>
              <w:tc>
                <w:tcPr>
                  <w:tcW w:w="0" w:type="auto"/>
                  <w:vAlign w:val="center"/>
                  <w:hideMark/>
                </w:tcPr>
                <w:p w:rsidR="00716B5C" w:rsidRDefault="00716B5C" w:rsidP="00716B5C">
                  <w:pPr>
                    <w:rPr>
                      <w:sz w:val="24"/>
                      <w:szCs w:val="24"/>
                    </w:rPr>
                  </w:pPr>
                  <w:r>
                    <w:t xml:space="preserve">Passif </w:t>
                  </w:r>
                </w:p>
              </w:tc>
              <w:tc>
                <w:tcPr>
                  <w:tcW w:w="0" w:type="auto"/>
                  <w:vAlign w:val="center"/>
                  <w:hideMark/>
                </w:tcPr>
                <w:tbl>
                  <w:tblPr>
                    <w:tblW w:w="0" w:type="auto"/>
                    <w:jc w:val="right"/>
                    <w:tblCellSpacing w:w="7" w:type="dxa"/>
                    <w:tblCellMar>
                      <w:top w:w="15" w:type="dxa"/>
                      <w:left w:w="15" w:type="dxa"/>
                      <w:bottom w:w="15" w:type="dxa"/>
                      <w:right w:w="15" w:type="dxa"/>
                    </w:tblCellMar>
                    <w:tblLook w:val="04A0" w:firstRow="1" w:lastRow="0" w:firstColumn="1" w:lastColumn="0" w:noHBand="0" w:noVBand="1"/>
                  </w:tblPr>
                  <w:tblGrid>
                    <w:gridCol w:w="57"/>
                    <w:gridCol w:w="171"/>
                  </w:tblGrid>
                  <w:tr w:rsidR="00716B5C">
                    <w:trPr>
                      <w:tblCellSpacing w:w="7" w:type="dxa"/>
                      <w:jc w:val="right"/>
                      <w:hidden/>
                    </w:trPr>
                    <w:tc>
                      <w:tcPr>
                        <w:tcW w:w="0" w:type="auto"/>
                        <w:vAlign w:val="center"/>
                        <w:hideMark/>
                      </w:tcPr>
                      <w:p w:rsidR="00716B5C" w:rsidRDefault="00716B5C" w:rsidP="00716B5C">
                        <w:pPr>
                          <w:rPr>
                            <w:vanish/>
                            <w:sz w:val="15"/>
                            <w:szCs w:val="15"/>
                          </w:rPr>
                        </w:pPr>
                        <w:hyperlink r:id="rId14" w:history="1">
                          <w:r>
                            <w:rPr>
                              <w:rStyle w:val="Lienhypertexte"/>
                              <w:vanish/>
                              <w:color w:val="444444"/>
                              <w:sz w:val="15"/>
                              <w:szCs w:val="15"/>
                            </w:rPr>
                            <w:t>HAUT DE PAGE</w:t>
                          </w:r>
                        </w:hyperlink>
                        <w:r>
                          <w:rPr>
                            <w:vanish/>
                            <w:sz w:val="15"/>
                            <w:szCs w:val="15"/>
                          </w:rPr>
                          <w:t xml:space="preserve">  </w:t>
                        </w:r>
                      </w:p>
                    </w:tc>
                    <w:tc>
                      <w:tcPr>
                        <w:tcW w:w="0" w:type="auto"/>
                        <w:vAlign w:val="center"/>
                        <w:hideMark/>
                      </w:tcPr>
                      <w:p w:rsidR="00716B5C" w:rsidRDefault="00716B5C">
                        <w:pPr>
                          <w:rPr>
                            <w:sz w:val="24"/>
                            <w:szCs w:val="24"/>
                          </w:rPr>
                        </w:pPr>
                        <w:r>
                          <w:rPr>
                            <w:noProof/>
                            <w:color w:val="0000FF"/>
                            <w:lang w:eastAsia="fr-FR"/>
                          </w:rPr>
                          <w:drawing>
                            <wp:inline distT="0" distB="0" distL="0" distR="0">
                              <wp:extent cx="66675" cy="47625"/>
                              <wp:effectExtent l="0" t="0" r="9525" b="9525"/>
                              <wp:docPr id="6" name="Image 6" descr="haut d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ut de pag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p>
                    </w:tc>
                  </w:tr>
                </w:tbl>
                <w:p w:rsidR="00716B5C" w:rsidRDefault="00716B5C">
                  <w:pPr>
                    <w:jc w:val="right"/>
                    <w:rPr>
                      <w:sz w:val="24"/>
                      <w:szCs w:val="24"/>
                    </w:rPr>
                  </w:pPr>
                </w:p>
              </w:tc>
            </w:tr>
          </w:tbl>
          <w:p w:rsidR="00716B5C" w:rsidRDefault="00716B5C">
            <w:pPr>
              <w:rPr>
                <w:b/>
                <w:bCs/>
                <w:color w:val="444444"/>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vAlign w:val="center"/>
            <w:hideMark/>
          </w:tcPr>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2873"/>
              <w:gridCol w:w="1617"/>
              <w:gridCol w:w="1617"/>
              <w:gridCol w:w="1617"/>
              <w:gridCol w:w="1257"/>
            </w:tblGrid>
            <w:tr w:rsidR="00716B5C">
              <w:trPr>
                <w:trHeight w:val="510"/>
                <w:tblCellSpacing w:w="0" w:type="dxa"/>
              </w:trPr>
              <w:tc>
                <w:tcPr>
                  <w:tcW w:w="1600" w:type="pct"/>
                  <w:vAlign w:val="center"/>
                  <w:hideMark/>
                </w:tcPr>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31-12-2009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31-12-2008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Variation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7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Evolution %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w:t>
                        </w:r>
                      </w:p>
                    </w:tc>
                  </w:tr>
                </w:tbl>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Capitaux propres* </w:t>
                  </w:r>
                </w:p>
              </w:tc>
              <w:tc>
                <w:tcPr>
                  <w:tcW w:w="0" w:type="auto"/>
                  <w:vAlign w:val="center"/>
                  <w:hideMark/>
                </w:tcPr>
                <w:p w:rsidR="00716B5C" w:rsidRDefault="00716B5C">
                  <w:pPr>
                    <w:jc w:val="right"/>
                    <w:rPr>
                      <w:b/>
                      <w:bCs/>
                      <w:sz w:val="17"/>
                      <w:szCs w:val="17"/>
                    </w:rPr>
                  </w:pPr>
                  <w:r>
                    <w:rPr>
                      <w:b/>
                      <w:bCs/>
                      <w:sz w:val="17"/>
                      <w:szCs w:val="17"/>
                    </w:rPr>
                    <w:t xml:space="preserve"> 1.279.000 </w:t>
                  </w:r>
                </w:p>
              </w:tc>
              <w:tc>
                <w:tcPr>
                  <w:tcW w:w="0" w:type="auto"/>
                  <w:vAlign w:val="center"/>
                  <w:hideMark/>
                </w:tcPr>
                <w:p w:rsidR="00716B5C" w:rsidRDefault="00716B5C">
                  <w:pPr>
                    <w:jc w:val="right"/>
                    <w:rPr>
                      <w:b/>
                      <w:bCs/>
                      <w:sz w:val="17"/>
                      <w:szCs w:val="17"/>
                    </w:rPr>
                  </w:pPr>
                  <w:r>
                    <w:rPr>
                      <w:b/>
                      <w:bCs/>
                      <w:sz w:val="17"/>
                      <w:szCs w:val="17"/>
                    </w:rPr>
                    <w:t xml:space="preserve"> 1.234.000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45.000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+3,65%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Provisions* </w:t>
                  </w:r>
                </w:p>
              </w:tc>
              <w:tc>
                <w:tcPr>
                  <w:tcW w:w="0" w:type="auto"/>
                  <w:vAlign w:val="center"/>
                  <w:hideMark/>
                </w:tcPr>
                <w:p w:rsidR="00716B5C" w:rsidRDefault="00716B5C">
                  <w:pPr>
                    <w:jc w:val="right"/>
                    <w:rPr>
                      <w:b/>
                      <w:bCs/>
                      <w:sz w:val="17"/>
                      <w:szCs w:val="17"/>
                    </w:rPr>
                  </w:pPr>
                  <w:r>
                    <w:rPr>
                      <w:b/>
                      <w:bCs/>
                      <w:sz w:val="17"/>
                      <w:szCs w:val="17"/>
                    </w:rPr>
                    <w:t xml:space="preserve"> 237.000 </w:t>
                  </w:r>
                </w:p>
              </w:tc>
              <w:tc>
                <w:tcPr>
                  <w:tcW w:w="0" w:type="auto"/>
                  <w:vAlign w:val="center"/>
                  <w:hideMark/>
                </w:tcPr>
                <w:p w:rsidR="00716B5C" w:rsidRDefault="00716B5C">
                  <w:pPr>
                    <w:jc w:val="right"/>
                    <w:rPr>
                      <w:b/>
                      <w:bCs/>
                      <w:sz w:val="17"/>
                      <w:szCs w:val="17"/>
                    </w:rPr>
                  </w:pPr>
                  <w:r>
                    <w:rPr>
                      <w:b/>
                      <w:bCs/>
                      <w:sz w:val="17"/>
                      <w:szCs w:val="17"/>
                    </w:rPr>
                    <w:t xml:space="preserve"> 207.000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30.000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+14,49%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Dettes* </w:t>
                  </w:r>
                </w:p>
              </w:tc>
              <w:tc>
                <w:tcPr>
                  <w:tcW w:w="0" w:type="auto"/>
                  <w:vAlign w:val="center"/>
                  <w:hideMark/>
                </w:tcPr>
                <w:p w:rsidR="00716B5C" w:rsidRDefault="00716B5C">
                  <w:pPr>
                    <w:jc w:val="right"/>
                    <w:rPr>
                      <w:b/>
                      <w:bCs/>
                      <w:sz w:val="17"/>
                      <w:szCs w:val="17"/>
                    </w:rPr>
                  </w:pPr>
                  <w:r>
                    <w:rPr>
                      <w:b/>
                      <w:bCs/>
                      <w:sz w:val="17"/>
                      <w:szCs w:val="17"/>
                    </w:rPr>
                    <w:t xml:space="preserve"> 812.000 </w:t>
                  </w:r>
                </w:p>
              </w:tc>
              <w:tc>
                <w:tcPr>
                  <w:tcW w:w="0" w:type="auto"/>
                  <w:vAlign w:val="center"/>
                  <w:hideMark/>
                </w:tcPr>
                <w:p w:rsidR="00716B5C" w:rsidRDefault="00716B5C">
                  <w:pPr>
                    <w:jc w:val="right"/>
                    <w:rPr>
                      <w:b/>
                      <w:bCs/>
                      <w:sz w:val="17"/>
                      <w:szCs w:val="17"/>
                    </w:rPr>
                  </w:pPr>
                  <w:r>
                    <w:rPr>
                      <w:b/>
                      <w:bCs/>
                      <w:sz w:val="17"/>
                      <w:szCs w:val="17"/>
                    </w:rPr>
                    <w:t xml:space="preserve"> 917.000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- 105.000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-11,45%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financières </w:t>
                  </w:r>
                </w:p>
              </w:tc>
              <w:tc>
                <w:tcPr>
                  <w:tcW w:w="0" w:type="auto"/>
                  <w:vAlign w:val="center"/>
                  <w:hideMark/>
                </w:tcPr>
                <w:p w:rsidR="00716B5C" w:rsidRDefault="00716B5C">
                  <w:pPr>
                    <w:jc w:val="right"/>
                    <w:rPr>
                      <w:sz w:val="17"/>
                      <w:szCs w:val="17"/>
                    </w:rPr>
                  </w:pPr>
                  <w:r>
                    <w:rPr>
                      <w:sz w:val="17"/>
                      <w:szCs w:val="17"/>
                    </w:rPr>
                    <w:t xml:space="preserve"> 82.000 </w:t>
                  </w:r>
                </w:p>
              </w:tc>
              <w:tc>
                <w:tcPr>
                  <w:tcW w:w="0" w:type="auto"/>
                  <w:vAlign w:val="center"/>
                  <w:hideMark/>
                </w:tcPr>
                <w:p w:rsidR="00716B5C" w:rsidRDefault="00716B5C">
                  <w:pPr>
                    <w:jc w:val="right"/>
                    <w:rPr>
                      <w:sz w:val="17"/>
                      <w:szCs w:val="17"/>
                    </w:rPr>
                  </w:pPr>
                  <w:r>
                    <w:rPr>
                      <w:sz w:val="17"/>
                      <w:szCs w:val="17"/>
                    </w:rPr>
                    <w:t xml:space="preserve"> 151.000 </w:t>
                  </w:r>
                </w:p>
              </w:tc>
              <w:tc>
                <w:tcPr>
                  <w:tcW w:w="0" w:type="auto"/>
                  <w:vAlign w:val="center"/>
                  <w:hideMark/>
                </w:tcPr>
                <w:p w:rsidR="00716B5C" w:rsidRDefault="00716B5C">
                  <w:pPr>
                    <w:jc w:val="right"/>
                    <w:rPr>
                      <w:color w:val="000000"/>
                      <w:sz w:val="17"/>
                      <w:szCs w:val="17"/>
                    </w:rPr>
                  </w:pPr>
                  <w:r>
                    <w:rPr>
                      <w:color w:val="000000"/>
                      <w:sz w:val="17"/>
                      <w:szCs w:val="17"/>
                    </w:rPr>
                    <w:t xml:space="preserve"> - 69.000 </w:t>
                  </w:r>
                </w:p>
              </w:tc>
              <w:tc>
                <w:tcPr>
                  <w:tcW w:w="0" w:type="auto"/>
                  <w:vAlign w:val="center"/>
                  <w:hideMark/>
                </w:tcPr>
                <w:p w:rsidR="00716B5C" w:rsidRDefault="00716B5C">
                  <w:pPr>
                    <w:jc w:val="right"/>
                    <w:rPr>
                      <w:color w:val="000000"/>
                      <w:sz w:val="17"/>
                      <w:szCs w:val="17"/>
                    </w:rPr>
                  </w:pPr>
                  <w:r>
                    <w:rPr>
                      <w:color w:val="000000"/>
                      <w:sz w:val="17"/>
                      <w:szCs w:val="17"/>
                    </w:rPr>
                    <w:t xml:space="preserve">-45,70%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fournisseurs </w:t>
                  </w:r>
                </w:p>
              </w:tc>
              <w:tc>
                <w:tcPr>
                  <w:tcW w:w="0" w:type="auto"/>
                  <w:vAlign w:val="center"/>
                  <w:hideMark/>
                </w:tcPr>
                <w:p w:rsidR="00716B5C" w:rsidRDefault="00716B5C">
                  <w:pPr>
                    <w:jc w:val="right"/>
                    <w:rPr>
                      <w:sz w:val="17"/>
                      <w:szCs w:val="17"/>
                    </w:rPr>
                  </w:pPr>
                  <w:r>
                    <w:rPr>
                      <w:sz w:val="17"/>
                      <w:szCs w:val="17"/>
                    </w:rPr>
                    <w:t xml:space="preserve"> 484.000 </w:t>
                  </w:r>
                </w:p>
              </w:tc>
              <w:tc>
                <w:tcPr>
                  <w:tcW w:w="0" w:type="auto"/>
                  <w:vAlign w:val="center"/>
                  <w:hideMark/>
                </w:tcPr>
                <w:p w:rsidR="00716B5C" w:rsidRDefault="00716B5C">
                  <w:pPr>
                    <w:jc w:val="right"/>
                    <w:rPr>
                      <w:sz w:val="17"/>
                      <w:szCs w:val="17"/>
                    </w:rPr>
                  </w:pPr>
                  <w:r>
                    <w:rPr>
                      <w:sz w:val="17"/>
                      <w:szCs w:val="17"/>
                    </w:rPr>
                    <w:t xml:space="preserve"> 499.000 </w:t>
                  </w:r>
                </w:p>
              </w:tc>
              <w:tc>
                <w:tcPr>
                  <w:tcW w:w="0" w:type="auto"/>
                  <w:vAlign w:val="center"/>
                  <w:hideMark/>
                </w:tcPr>
                <w:p w:rsidR="00716B5C" w:rsidRDefault="00716B5C">
                  <w:pPr>
                    <w:jc w:val="right"/>
                    <w:rPr>
                      <w:color w:val="000000"/>
                      <w:sz w:val="17"/>
                      <w:szCs w:val="17"/>
                    </w:rPr>
                  </w:pPr>
                  <w:r>
                    <w:rPr>
                      <w:color w:val="000000"/>
                      <w:sz w:val="17"/>
                      <w:szCs w:val="17"/>
                    </w:rPr>
                    <w:t xml:space="preserve"> - 15.000 </w:t>
                  </w:r>
                </w:p>
              </w:tc>
              <w:tc>
                <w:tcPr>
                  <w:tcW w:w="0" w:type="auto"/>
                  <w:vAlign w:val="center"/>
                  <w:hideMark/>
                </w:tcPr>
                <w:p w:rsidR="00716B5C" w:rsidRDefault="00716B5C">
                  <w:pPr>
                    <w:jc w:val="right"/>
                    <w:rPr>
                      <w:color w:val="000000"/>
                      <w:sz w:val="17"/>
                      <w:szCs w:val="17"/>
                    </w:rPr>
                  </w:pPr>
                  <w:r>
                    <w:rPr>
                      <w:color w:val="000000"/>
                      <w:sz w:val="17"/>
                      <w:szCs w:val="17"/>
                    </w:rPr>
                    <w:t xml:space="preserve">-3,01%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dettes fiscales et sociales </w:t>
                  </w:r>
                </w:p>
              </w:tc>
              <w:tc>
                <w:tcPr>
                  <w:tcW w:w="0" w:type="auto"/>
                  <w:vAlign w:val="center"/>
                  <w:hideMark/>
                </w:tcPr>
                <w:p w:rsidR="00716B5C" w:rsidRDefault="00716B5C">
                  <w:pPr>
                    <w:jc w:val="right"/>
                    <w:rPr>
                      <w:sz w:val="17"/>
                      <w:szCs w:val="17"/>
                    </w:rPr>
                  </w:pPr>
                  <w:r>
                    <w:rPr>
                      <w:sz w:val="17"/>
                      <w:szCs w:val="17"/>
                    </w:rPr>
                    <w:t xml:space="preserve"> 159.000 </w:t>
                  </w:r>
                </w:p>
              </w:tc>
              <w:tc>
                <w:tcPr>
                  <w:tcW w:w="0" w:type="auto"/>
                  <w:vAlign w:val="center"/>
                  <w:hideMark/>
                </w:tcPr>
                <w:p w:rsidR="00716B5C" w:rsidRDefault="00716B5C">
                  <w:pPr>
                    <w:jc w:val="right"/>
                    <w:rPr>
                      <w:sz w:val="17"/>
                      <w:szCs w:val="17"/>
                    </w:rPr>
                  </w:pPr>
                  <w:r>
                    <w:rPr>
                      <w:sz w:val="17"/>
                      <w:szCs w:val="17"/>
                    </w:rPr>
                    <w:t xml:space="preserve"> 121.000 </w:t>
                  </w:r>
                </w:p>
              </w:tc>
              <w:tc>
                <w:tcPr>
                  <w:tcW w:w="0" w:type="auto"/>
                  <w:vAlign w:val="center"/>
                  <w:hideMark/>
                </w:tcPr>
                <w:p w:rsidR="00716B5C" w:rsidRDefault="00716B5C">
                  <w:pPr>
                    <w:jc w:val="right"/>
                    <w:rPr>
                      <w:color w:val="000000"/>
                      <w:sz w:val="17"/>
                      <w:szCs w:val="17"/>
                    </w:rPr>
                  </w:pPr>
                  <w:r>
                    <w:rPr>
                      <w:color w:val="000000"/>
                      <w:sz w:val="17"/>
                      <w:szCs w:val="17"/>
                    </w:rPr>
                    <w:t xml:space="preserve"> 38.000 </w:t>
                  </w:r>
                </w:p>
              </w:tc>
              <w:tc>
                <w:tcPr>
                  <w:tcW w:w="0" w:type="auto"/>
                  <w:vAlign w:val="center"/>
                  <w:hideMark/>
                </w:tcPr>
                <w:p w:rsidR="00716B5C" w:rsidRDefault="00716B5C">
                  <w:pPr>
                    <w:jc w:val="right"/>
                    <w:rPr>
                      <w:color w:val="000000"/>
                      <w:sz w:val="17"/>
                      <w:szCs w:val="17"/>
                    </w:rPr>
                  </w:pPr>
                  <w:r>
                    <w:rPr>
                      <w:color w:val="000000"/>
                      <w:sz w:val="17"/>
                      <w:szCs w:val="17"/>
                    </w:rPr>
                    <w:t xml:space="preserve">+31,40%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autres dettes </w:t>
                  </w:r>
                </w:p>
              </w:tc>
              <w:tc>
                <w:tcPr>
                  <w:tcW w:w="0" w:type="auto"/>
                  <w:vAlign w:val="center"/>
                  <w:hideMark/>
                </w:tcPr>
                <w:p w:rsidR="00716B5C" w:rsidRDefault="00716B5C">
                  <w:pPr>
                    <w:jc w:val="right"/>
                    <w:rPr>
                      <w:sz w:val="17"/>
                      <w:szCs w:val="17"/>
                    </w:rPr>
                  </w:pPr>
                  <w:r>
                    <w:rPr>
                      <w:sz w:val="17"/>
                      <w:szCs w:val="17"/>
                    </w:rPr>
                    <w:t xml:space="preserve"> 88.000 </w:t>
                  </w:r>
                </w:p>
              </w:tc>
              <w:tc>
                <w:tcPr>
                  <w:tcW w:w="0" w:type="auto"/>
                  <w:vAlign w:val="center"/>
                  <w:hideMark/>
                </w:tcPr>
                <w:p w:rsidR="00716B5C" w:rsidRDefault="00716B5C">
                  <w:pPr>
                    <w:jc w:val="right"/>
                    <w:rPr>
                      <w:sz w:val="17"/>
                      <w:szCs w:val="17"/>
                    </w:rPr>
                  </w:pPr>
                  <w:r>
                    <w:rPr>
                      <w:sz w:val="17"/>
                      <w:szCs w:val="17"/>
                    </w:rPr>
                    <w:t xml:space="preserve"> 147.000 </w:t>
                  </w:r>
                </w:p>
              </w:tc>
              <w:tc>
                <w:tcPr>
                  <w:tcW w:w="0" w:type="auto"/>
                  <w:vAlign w:val="center"/>
                  <w:hideMark/>
                </w:tcPr>
                <w:p w:rsidR="00716B5C" w:rsidRDefault="00716B5C">
                  <w:pPr>
                    <w:jc w:val="right"/>
                    <w:rPr>
                      <w:color w:val="000000"/>
                      <w:sz w:val="17"/>
                      <w:szCs w:val="17"/>
                    </w:rPr>
                  </w:pPr>
                  <w:r>
                    <w:rPr>
                      <w:color w:val="000000"/>
                      <w:sz w:val="17"/>
                      <w:szCs w:val="17"/>
                    </w:rPr>
                    <w:t xml:space="preserve"> - 59.000 </w:t>
                  </w:r>
                </w:p>
              </w:tc>
              <w:tc>
                <w:tcPr>
                  <w:tcW w:w="0" w:type="auto"/>
                  <w:vAlign w:val="center"/>
                  <w:hideMark/>
                </w:tcPr>
                <w:p w:rsidR="00716B5C" w:rsidRDefault="00716B5C">
                  <w:pPr>
                    <w:jc w:val="right"/>
                    <w:rPr>
                      <w:color w:val="000000"/>
                      <w:sz w:val="17"/>
                      <w:szCs w:val="17"/>
                    </w:rPr>
                  </w:pPr>
                  <w:r>
                    <w:rPr>
                      <w:color w:val="000000"/>
                      <w:sz w:val="17"/>
                      <w:szCs w:val="17"/>
                    </w:rPr>
                    <w:t xml:space="preserve">-40,14%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sz w:val="17"/>
                      <w:szCs w:val="17"/>
                    </w:rPr>
                  </w:pPr>
                  <w:r>
                    <w:rPr>
                      <w:sz w:val="17"/>
                      <w:szCs w:val="17"/>
                    </w:rPr>
                    <w:t xml:space="preserve">Compte de régularisation passif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sz w:val="17"/>
                      <w:szCs w:val="17"/>
                    </w:rPr>
                  </w:pPr>
                  <w:r>
                    <w:rPr>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 0 </w:t>
                  </w:r>
                </w:p>
              </w:tc>
              <w:tc>
                <w:tcPr>
                  <w:tcW w:w="0" w:type="auto"/>
                  <w:vAlign w:val="center"/>
                  <w:hideMark/>
                </w:tcPr>
                <w:p w:rsidR="00716B5C" w:rsidRDefault="00716B5C">
                  <w:pPr>
                    <w:jc w:val="right"/>
                    <w:rPr>
                      <w:color w:val="000000"/>
                      <w:sz w:val="17"/>
                      <w:szCs w:val="17"/>
                    </w:rPr>
                  </w:pPr>
                  <w:r>
                    <w:rPr>
                      <w:color w:val="000000"/>
                      <w:sz w:val="17"/>
                      <w:szCs w:val="17"/>
                    </w:rPr>
                    <w:t xml:space="preserve">0,00%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Total passif* </w:t>
                  </w:r>
                </w:p>
              </w:tc>
              <w:tc>
                <w:tcPr>
                  <w:tcW w:w="0" w:type="auto"/>
                  <w:vAlign w:val="center"/>
                  <w:hideMark/>
                </w:tcPr>
                <w:p w:rsidR="00716B5C" w:rsidRDefault="00716B5C">
                  <w:pPr>
                    <w:jc w:val="right"/>
                    <w:rPr>
                      <w:b/>
                      <w:bCs/>
                      <w:sz w:val="17"/>
                      <w:szCs w:val="17"/>
                    </w:rPr>
                  </w:pPr>
                  <w:r>
                    <w:rPr>
                      <w:b/>
                      <w:bCs/>
                      <w:sz w:val="17"/>
                      <w:szCs w:val="17"/>
                    </w:rPr>
                    <w:t xml:space="preserve"> 2.328.000 </w:t>
                  </w:r>
                </w:p>
              </w:tc>
              <w:tc>
                <w:tcPr>
                  <w:tcW w:w="0" w:type="auto"/>
                  <w:vAlign w:val="center"/>
                  <w:hideMark/>
                </w:tcPr>
                <w:p w:rsidR="00716B5C" w:rsidRDefault="00716B5C">
                  <w:pPr>
                    <w:jc w:val="right"/>
                    <w:rPr>
                      <w:b/>
                      <w:bCs/>
                      <w:sz w:val="17"/>
                      <w:szCs w:val="17"/>
                    </w:rPr>
                  </w:pPr>
                  <w:r>
                    <w:rPr>
                      <w:b/>
                      <w:bCs/>
                      <w:sz w:val="17"/>
                      <w:szCs w:val="17"/>
                    </w:rPr>
                    <w:t xml:space="preserve"> 2.358.000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- 30.000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-1,27%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spacing w:after="240"/>
                    <w:rPr>
                      <w:sz w:val="17"/>
                      <w:szCs w:val="17"/>
                    </w:rPr>
                  </w:pPr>
                  <w:r>
                    <w:rPr>
                      <w:noProof/>
                      <w:sz w:val="17"/>
                      <w:szCs w:val="17"/>
                      <w:lang w:eastAsia="fr-FR"/>
                    </w:rPr>
                    <w:drawing>
                      <wp:inline distT="0" distB="0" distL="0" distR="0">
                        <wp:extent cx="57150" cy="85725"/>
                        <wp:effectExtent l="0" t="0" r="0" b="9525"/>
                        <wp:docPr id="5" name="Image 5" descr="commander les comptes comp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ander les comptes compl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hyperlink r:id="rId15" w:history="1">
                    <w:r>
                      <w:rPr>
                        <w:rStyle w:val="Lienhypertexte"/>
                        <w:sz w:val="17"/>
                        <w:szCs w:val="17"/>
                      </w:rPr>
                      <w:t>Commander les comptes complets</w:t>
                    </w:r>
                  </w:hyperlink>
                  <w:r>
                    <w:rPr>
                      <w:sz w:val="17"/>
                      <w:szCs w:val="17"/>
                    </w:rPr>
                    <w:t xml:space="preserve"> </w:t>
                  </w:r>
                </w:p>
              </w:tc>
            </w:tr>
          </w:tbl>
          <w:p w:rsidR="00716B5C" w:rsidRDefault="00716B5C">
            <w:pPr>
              <w:rPr>
                <w:sz w:val="24"/>
                <w:szCs w:val="24"/>
              </w:rPr>
            </w:pPr>
          </w:p>
        </w:tc>
      </w:tr>
    </w:tbl>
    <w:p w:rsidR="00716B5C" w:rsidRDefault="00716B5C" w:rsidP="00716B5C">
      <w:pPr>
        <w:rPr>
          <w:vanish/>
        </w:rPr>
      </w:pPr>
      <w:bookmarkStart w:id="2" w:name="cr"/>
      <w:bookmarkEnd w:id="2"/>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shd w:val="clear" w:color="auto" w:fill="E7E7E7"/>
            <w:vAlign w:val="center"/>
            <w:hideMark/>
          </w:tcPr>
          <w:tbl>
            <w:tblPr>
              <w:tblW w:w="5000" w:type="pct"/>
              <w:tblCellSpacing w:w="0" w:type="dxa"/>
              <w:tblCellMar>
                <w:left w:w="0" w:type="dxa"/>
                <w:right w:w="0" w:type="dxa"/>
              </w:tblCellMar>
              <w:tblLook w:val="04A0" w:firstRow="1" w:lastRow="0" w:firstColumn="1" w:lastColumn="0" w:noHBand="0" w:noVBand="1"/>
            </w:tblPr>
            <w:tblGrid>
              <w:gridCol w:w="8012"/>
              <w:gridCol w:w="1060"/>
            </w:tblGrid>
            <w:tr w:rsidR="00716B5C">
              <w:trPr>
                <w:tblCellSpacing w:w="0" w:type="dxa"/>
              </w:trPr>
              <w:tc>
                <w:tcPr>
                  <w:tcW w:w="0" w:type="auto"/>
                  <w:vAlign w:val="center"/>
                  <w:hideMark/>
                </w:tcPr>
                <w:p w:rsidR="00716B5C" w:rsidRDefault="00716B5C" w:rsidP="00716B5C">
                  <w:pPr>
                    <w:rPr>
                      <w:sz w:val="24"/>
                      <w:szCs w:val="24"/>
                    </w:rPr>
                  </w:pPr>
                  <w:r>
                    <w:t xml:space="preserve">Compte de résultat </w:t>
                  </w:r>
                </w:p>
              </w:tc>
              <w:tc>
                <w:tcPr>
                  <w:tcW w:w="0" w:type="auto"/>
                  <w:vAlign w:val="center"/>
                  <w:hideMark/>
                </w:tcPr>
                <w:tbl>
                  <w:tblPr>
                    <w:tblW w:w="0" w:type="auto"/>
                    <w:jc w:val="right"/>
                    <w:tblCellSpacing w:w="7" w:type="dxa"/>
                    <w:tblCellMar>
                      <w:top w:w="15" w:type="dxa"/>
                      <w:left w:w="15" w:type="dxa"/>
                      <w:bottom w:w="15" w:type="dxa"/>
                      <w:right w:w="15" w:type="dxa"/>
                    </w:tblCellMar>
                    <w:tblLook w:val="04A0" w:firstRow="1" w:lastRow="0" w:firstColumn="1" w:lastColumn="0" w:noHBand="0" w:noVBand="1"/>
                  </w:tblPr>
                  <w:tblGrid>
                    <w:gridCol w:w="57"/>
                    <w:gridCol w:w="171"/>
                  </w:tblGrid>
                  <w:tr w:rsidR="00716B5C">
                    <w:trPr>
                      <w:tblCellSpacing w:w="7" w:type="dxa"/>
                      <w:jc w:val="right"/>
                      <w:hidden/>
                    </w:trPr>
                    <w:tc>
                      <w:tcPr>
                        <w:tcW w:w="0" w:type="auto"/>
                        <w:vAlign w:val="center"/>
                        <w:hideMark/>
                      </w:tcPr>
                      <w:p w:rsidR="00716B5C" w:rsidRDefault="00716B5C" w:rsidP="00716B5C">
                        <w:pPr>
                          <w:rPr>
                            <w:vanish/>
                            <w:sz w:val="15"/>
                            <w:szCs w:val="15"/>
                          </w:rPr>
                        </w:pPr>
                        <w:hyperlink r:id="rId16" w:history="1">
                          <w:r>
                            <w:rPr>
                              <w:rStyle w:val="Lienhypertexte"/>
                              <w:vanish/>
                              <w:color w:val="444444"/>
                              <w:sz w:val="15"/>
                              <w:szCs w:val="15"/>
                            </w:rPr>
                            <w:t>HAUT DE PAGE</w:t>
                          </w:r>
                        </w:hyperlink>
                        <w:r>
                          <w:rPr>
                            <w:vanish/>
                            <w:sz w:val="15"/>
                            <w:szCs w:val="15"/>
                          </w:rPr>
                          <w:t xml:space="preserve">  </w:t>
                        </w:r>
                      </w:p>
                    </w:tc>
                    <w:tc>
                      <w:tcPr>
                        <w:tcW w:w="0" w:type="auto"/>
                        <w:vAlign w:val="center"/>
                        <w:hideMark/>
                      </w:tcPr>
                      <w:p w:rsidR="00716B5C" w:rsidRDefault="00716B5C">
                        <w:pPr>
                          <w:rPr>
                            <w:sz w:val="24"/>
                            <w:szCs w:val="24"/>
                          </w:rPr>
                        </w:pPr>
                        <w:r>
                          <w:rPr>
                            <w:noProof/>
                            <w:color w:val="0000FF"/>
                            <w:lang w:eastAsia="fr-FR"/>
                          </w:rPr>
                          <w:drawing>
                            <wp:inline distT="0" distB="0" distL="0" distR="0">
                              <wp:extent cx="66675" cy="47625"/>
                              <wp:effectExtent l="0" t="0" r="9525" b="9525"/>
                              <wp:docPr id="4" name="Image 4" descr="haut d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ut de page">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p>
                    </w:tc>
                  </w:tr>
                </w:tbl>
                <w:p w:rsidR="00716B5C" w:rsidRDefault="00716B5C">
                  <w:pPr>
                    <w:jc w:val="right"/>
                    <w:rPr>
                      <w:sz w:val="24"/>
                      <w:szCs w:val="24"/>
                    </w:rPr>
                  </w:pPr>
                </w:p>
              </w:tc>
            </w:tr>
          </w:tbl>
          <w:p w:rsidR="00716B5C" w:rsidRDefault="00716B5C">
            <w:pPr>
              <w:rPr>
                <w:b/>
                <w:bCs/>
                <w:color w:val="444444"/>
                <w:sz w:val="24"/>
                <w:szCs w:val="24"/>
              </w:rPr>
            </w:pPr>
          </w:p>
        </w:tc>
      </w:tr>
    </w:tbl>
    <w:p w:rsidR="00716B5C" w:rsidRDefault="00716B5C" w:rsidP="00716B5C">
      <w:pPr>
        <w:rPr>
          <w:vanish/>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716B5C" w:rsidTr="00716B5C">
        <w:trPr>
          <w:tblCellSpacing w:w="37" w:type="dxa"/>
        </w:trPr>
        <w:tc>
          <w:tcPr>
            <w:tcW w:w="0" w:type="auto"/>
            <w:vAlign w:val="center"/>
            <w:hideMark/>
          </w:tcPr>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2873"/>
              <w:gridCol w:w="1617"/>
              <w:gridCol w:w="1617"/>
              <w:gridCol w:w="1617"/>
              <w:gridCol w:w="1257"/>
            </w:tblGrid>
            <w:tr w:rsidR="00716B5C">
              <w:trPr>
                <w:trHeight w:val="510"/>
                <w:tblCellSpacing w:w="0" w:type="dxa"/>
              </w:trPr>
              <w:tc>
                <w:tcPr>
                  <w:tcW w:w="1600" w:type="pct"/>
                  <w:vAlign w:val="center"/>
                  <w:hideMark/>
                </w:tcPr>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31-12-2009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31-12-2008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9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Variation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(EU) </w:t>
                        </w:r>
                      </w:p>
                    </w:tc>
                  </w:tr>
                </w:tbl>
                <w:p w:rsidR="00716B5C" w:rsidRDefault="00716B5C">
                  <w:pPr>
                    <w:rPr>
                      <w:sz w:val="17"/>
                      <w:szCs w:val="17"/>
                    </w:rPr>
                  </w:pPr>
                </w:p>
              </w:tc>
              <w:tc>
                <w:tcPr>
                  <w:tcW w:w="7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27"/>
                  </w:tblGrid>
                  <w:tr w:rsidR="00716B5C">
                    <w:trPr>
                      <w:tblCellSpacing w:w="15" w:type="dxa"/>
                    </w:trPr>
                    <w:tc>
                      <w:tcPr>
                        <w:tcW w:w="0" w:type="auto"/>
                        <w:vAlign w:val="center"/>
                        <w:hideMark/>
                      </w:tcPr>
                      <w:p w:rsidR="00716B5C" w:rsidRDefault="00716B5C">
                        <w:pPr>
                          <w:jc w:val="right"/>
                          <w:rPr>
                            <w:b/>
                            <w:bCs/>
                            <w:color w:val="548BC1"/>
                            <w:sz w:val="17"/>
                            <w:szCs w:val="17"/>
                          </w:rPr>
                        </w:pPr>
                        <w:r>
                          <w:rPr>
                            <w:b/>
                            <w:bCs/>
                            <w:color w:val="548BC1"/>
                            <w:sz w:val="17"/>
                            <w:szCs w:val="17"/>
                          </w:rPr>
                          <w:t xml:space="preserve">Evolution % </w:t>
                        </w:r>
                      </w:p>
                    </w:tc>
                  </w:tr>
                  <w:tr w:rsidR="00716B5C">
                    <w:trPr>
                      <w:tblCellSpacing w:w="15" w:type="dxa"/>
                    </w:trPr>
                    <w:tc>
                      <w:tcPr>
                        <w:tcW w:w="0" w:type="auto"/>
                        <w:vAlign w:val="center"/>
                        <w:hideMark/>
                      </w:tcPr>
                      <w:p w:rsidR="00716B5C" w:rsidRDefault="00716B5C">
                        <w:pPr>
                          <w:jc w:val="right"/>
                          <w:rPr>
                            <w:color w:val="548BC1"/>
                            <w:sz w:val="17"/>
                            <w:szCs w:val="17"/>
                          </w:rPr>
                        </w:pPr>
                        <w:r>
                          <w:rPr>
                            <w:color w:val="548BC1"/>
                            <w:sz w:val="17"/>
                            <w:szCs w:val="17"/>
                          </w:rPr>
                          <w:t xml:space="preserve">12 mois </w:t>
                        </w:r>
                      </w:p>
                    </w:tc>
                  </w:tr>
                </w:tbl>
                <w:p w:rsidR="00716B5C" w:rsidRDefault="00716B5C">
                  <w:pPr>
                    <w:rPr>
                      <w:sz w:val="17"/>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Chiffre d'affaires* </w:t>
                  </w:r>
                </w:p>
              </w:tc>
              <w:tc>
                <w:tcPr>
                  <w:tcW w:w="0" w:type="auto"/>
                  <w:vAlign w:val="center"/>
                  <w:hideMark/>
                </w:tcPr>
                <w:p w:rsidR="00716B5C" w:rsidRDefault="00716B5C">
                  <w:pPr>
                    <w:jc w:val="right"/>
                    <w:rPr>
                      <w:b/>
                      <w:bCs/>
                      <w:sz w:val="17"/>
                      <w:szCs w:val="17"/>
                    </w:rPr>
                  </w:pPr>
                  <w:r>
                    <w:rPr>
                      <w:b/>
                      <w:bCs/>
                      <w:sz w:val="17"/>
                      <w:szCs w:val="17"/>
                    </w:rPr>
                    <w:t xml:space="preserve"> 2.528.000 </w:t>
                  </w:r>
                </w:p>
              </w:tc>
              <w:tc>
                <w:tcPr>
                  <w:tcW w:w="0" w:type="auto"/>
                  <w:vAlign w:val="center"/>
                  <w:hideMark/>
                </w:tcPr>
                <w:p w:rsidR="00716B5C" w:rsidRDefault="00716B5C">
                  <w:pPr>
                    <w:jc w:val="right"/>
                    <w:rPr>
                      <w:b/>
                      <w:bCs/>
                      <w:sz w:val="17"/>
                      <w:szCs w:val="17"/>
                    </w:rPr>
                  </w:pPr>
                  <w:r>
                    <w:rPr>
                      <w:b/>
                      <w:bCs/>
                      <w:sz w:val="17"/>
                      <w:szCs w:val="17"/>
                    </w:rPr>
                    <w:t xml:space="preserve"> 2.742.000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- 214.000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-7,80% </w:t>
                  </w:r>
                </w:p>
              </w:tc>
            </w:tr>
            <w:tr w:rsidR="00716B5C">
              <w:trPr>
                <w:tblCellSpacing w:w="0" w:type="dxa"/>
              </w:trPr>
              <w:tc>
                <w:tcPr>
                  <w:tcW w:w="0" w:type="auto"/>
                  <w:vAlign w:val="center"/>
                  <w:hideMark/>
                </w:tcPr>
                <w:p w:rsidR="00716B5C" w:rsidRDefault="00716B5C">
                  <w:pPr>
                    <w:rPr>
                      <w:sz w:val="17"/>
                      <w:szCs w:val="17"/>
                    </w:rPr>
                  </w:pPr>
                  <w:r>
                    <w:rPr>
                      <w:sz w:val="17"/>
                      <w:szCs w:val="17"/>
                    </w:rPr>
                    <w:t xml:space="preserve">       - dont export </w:t>
                  </w:r>
                </w:p>
              </w:tc>
              <w:tc>
                <w:tcPr>
                  <w:tcW w:w="0" w:type="auto"/>
                  <w:vAlign w:val="center"/>
                  <w:hideMark/>
                </w:tcPr>
                <w:p w:rsidR="00716B5C" w:rsidRDefault="00716B5C">
                  <w:pPr>
                    <w:jc w:val="right"/>
                    <w:rPr>
                      <w:sz w:val="17"/>
                      <w:szCs w:val="17"/>
                    </w:rPr>
                  </w:pPr>
                  <w:r>
                    <w:rPr>
                      <w:sz w:val="17"/>
                      <w:szCs w:val="17"/>
                    </w:rPr>
                    <w:t xml:space="preserve"> 909.000 </w:t>
                  </w:r>
                </w:p>
              </w:tc>
              <w:tc>
                <w:tcPr>
                  <w:tcW w:w="0" w:type="auto"/>
                  <w:vAlign w:val="center"/>
                  <w:hideMark/>
                </w:tcPr>
                <w:p w:rsidR="00716B5C" w:rsidRDefault="00716B5C">
                  <w:pPr>
                    <w:jc w:val="right"/>
                    <w:rPr>
                      <w:sz w:val="17"/>
                      <w:szCs w:val="17"/>
                    </w:rPr>
                  </w:pPr>
                  <w:r>
                    <w:rPr>
                      <w:sz w:val="17"/>
                      <w:szCs w:val="17"/>
                    </w:rPr>
                    <w:t xml:space="preserve"> 1.425.000 </w:t>
                  </w:r>
                </w:p>
              </w:tc>
              <w:tc>
                <w:tcPr>
                  <w:tcW w:w="0" w:type="auto"/>
                  <w:vAlign w:val="center"/>
                  <w:hideMark/>
                </w:tcPr>
                <w:p w:rsidR="00716B5C" w:rsidRDefault="00716B5C">
                  <w:pPr>
                    <w:jc w:val="right"/>
                    <w:rPr>
                      <w:color w:val="D94A36"/>
                      <w:sz w:val="17"/>
                      <w:szCs w:val="17"/>
                    </w:rPr>
                  </w:pPr>
                  <w:r>
                    <w:rPr>
                      <w:color w:val="D94A36"/>
                      <w:sz w:val="17"/>
                      <w:szCs w:val="17"/>
                    </w:rPr>
                    <w:t xml:space="preserve"> - 516.000 </w:t>
                  </w:r>
                </w:p>
              </w:tc>
              <w:tc>
                <w:tcPr>
                  <w:tcW w:w="0" w:type="auto"/>
                  <w:vAlign w:val="center"/>
                  <w:hideMark/>
                </w:tcPr>
                <w:p w:rsidR="00716B5C" w:rsidRDefault="00716B5C">
                  <w:pPr>
                    <w:jc w:val="right"/>
                    <w:rPr>
                      <w:color w:val="D94A36"/>
                      <w:sz w:val="17"/>
                      <w:szCs w:val="17"/>
                    </w:rPr>
                  </w:pPr>
                  <w:r>
                    <w:rPr>
                      <w:color w:val="D94A36"/>
                      <w:sz w:val="17"/>
                      <w:szCs w:val="17"/>
                    </w:rPr>
                    <w:t xml:space="preserve">-36,21%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lastRenderedPageBreak/>
                    <w:t xml:space="preserve">Production* </w:t>
                  </w:r>
                </w:p>
              </w:tc>
              <w:tc>
                <w:tcPr>
                  <w:tcW w:w="0" w:type="auto"/>
                  <w:vAlign w:val="center"/>
                  <w:hideMark/>
                </w:tcPr>
                <w:p w:rsidR="00716B5C" w:rsidRDefault="00716B5C">
                  <w:pPr>
                    <w:jc w:val="right"/>
                    <w:rPr>
                      <w:b/>
                      <w:bCs/>
                      <w:sz w:val="17"/>
                      <w:szCs w:val="17"/>
                    </w:rPr>
                  </w:pPr>
                  <w:r>
                    <w:rPr>
                      <w:b/>
                      <w:bCs/>
                      <w:sz w:val="17"/>
                      <w:szCs w:val="17"/>
                    </w:rPr>
                    <w:t xml:space="preserve"> 2.620.000 </w:t>
                  </w:r>
                </w:p>
              </w:tc>
              <w:tc>
                <w:tcPr>
                  <w:tcW w:w="0" w:type="auto"/>
                  <w:vAlign w:val="center"/>
                  <w:hideMark/>
                </w:tcPr>
                <w:p w:rsidR="00716B5C" w:rsidRDefault="00716B5C">
                  <w:pPr>
                    <w:jc w:val="right"/>
                    <w:rPr>
                      <w:b/>
                      <w:bCs/>
                      <w:sz w:val="17"/>
                      <w:szCs w:val="17"/>
                    </w:rPr>
                  </w:pPr>
                  <w:r>
                    <w:rPr>
                      <w:b/>
                      <w:bCs/>
                      <w:sz w:val="17"/>
                      <w:szCs w:val="17"/>
                    </w:rPr>
                    <w:t xml:space="preserve"> 2.742.000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- 122.000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-4,45%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Valeur ajoutée* </w:t>
                  </w:r>
                </w:p>
              </w:tc>
              <w:tc>
                <w:tcPr>
                  <w:tcW w:w="0" w:type="auto"/>
                  <w:vAlign w:val="center"/>
                  <w:hideMark/>
                </w:tcPr>
                <w:p w:rsidR="00716B5C" w:rsidRDefault="00716B5C">
                  <w:pPr>
                    <w:jc w:val="right"/>
                    <w:rPr>
                      <w:b/>
                      <w:bCs/>
                      <w:sz w:val="17"/>
                      <w:szCs w:val="17"/>
                    </w:rPr>
                  </w:pPr>
                  <w:r>
                    <w:rPr>
                      <w:b/>
                      <w:bCs/>
                      <w:sz w:val="17"/>
                      <w:szCs w:val="17"/>
                    </w:rPr>
                    <w:t xml:space="preserve"> 875.000 </w:t>
                  </w:r>
                </w:p>
              </w:tc>
              <w:tc>
                <w:tcPr>
                  <w:tcW w:w="0" w:type="auto"/>
                  <w:vAlign w:val="center"/>
                  <w:hideMark/>
                </w:tcPr>
                <w:p w:rsidR="00716B5C" w:rsidRDefault="00716B5C">
                  <w:pPr>
                    <w:jc w:val="right"/>
                    <w:rPr>
                      <w:b/>
                      <w:bCs/>
                      <w:sz w:val="17"/>
                      <w:szCs w:val="17"/>
                    </w:rPr>
                  </w:pPr>
                  <w:r>
                    <w:rPr>
                      <w:b/>
                      <w:bCs/>
                      <w:sz w:val="17"/>
                      <w:szCs w:val="17"/>
                    </w:rPr>
                    <w:t xml:space="preserve"> 1.203.000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- 328.000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-27,27%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EBE </w:t>
                  </w:r>
                </w:p>
              </w:tc>
              <w:tc>
                <w:tcPr>
                  <w:tcW w:w="0" w:type="auto"/>
                  <w:vAlign w:val="center"/>
                  <w:hideMark/>
                </w:tcPr>
                <w:p w:rsidR="00716B5C" w:rsidRDefault="00716B5C">
                  <w:pPr>
                    <w:jc w:val="right"/>
                    <w:rPr>
                      <w:b/>
                      <w:bCs/>
                      <w:sz w:val="17"/>
                      <w:szCs w:val="17"/>
                    </w:rPr>
                  </w:pPr>
                  <w:r>
                    <w:rPr>
                      <w:b/>
                      <w:bCs/>
                      <w:sz w:val="17"/>
                      <w:szCs w:val="17"/>
                    </w:rPr>
                    <w:t xml:space="preserve"> 281.000 </w:t>
                  </w:r>
                </w:p>
              </w:tc>
              <w:tc>
                <w:tcPr>
                  <w:tcW w:w="0" w:type="auto"/>
                  <w:vAlign w:val="center"/>
                  <w:hideMark/>
                </w:tcPr>
                <w:p w:rsidR="00716B5C" w:rsidRDefault="00716B5C">
                  <w:pPr>
                    <w:jc w:val="right"/>
                    <w:rPr>
                      <w:b/>
                      <w:bCs/>
                      <w:sz w:val="17"/>
                      <w:szCs w:val="17"/>
                    </w:rPr>
                  </w:pPr>
                  <w:r>
                    <w:rPr>
                      <w:b/>
                      <w:bCs/>
                      <w:sz w:val="17"/>
                      <w:szCs w:val="17"/>
                    </w:rPr>
                    <w:t xml:space="preserve"> 732.000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- 451.000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-61,61%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Résultat d'exploitation </w:t>
                  </w:r>
                </w:p>
              </w:tc>
              <w:tc>
                <w:tcPr>
                  <w:tcW w:w="0" w:type="auto"/>
                  <w:vAlign w:val="center"/>
                  <w:hideMark/>
                </w:tcPr>
                <w:p w:rsidR="00716B5C" w:rsidRDefault="00716B5C">
                  <w:pPr>
                    <w:jc w:val="right"/>
                    <w:rPr>
                      <w:b/>
                      <w:bCs/>
                      <w:sz w:val="17"/>
                      <w:szCs w:val="17"/>
                    </w:rPr>
                  </w:pPr>
                  <w:r>
                    <w:rPr>
                      <w:b/>
                      <w:bCs/>
                      <w:sz w:val="17"/>
                      <w:szCs w:val="17"/>
                    </w:rPr>
                    <w:t xml:space="preserve"> 128.000 </w:t>
                  </w:r>
                </w:p>
              </w:tc>
              <w:tc>
                <w:tcPr>
                  <w:tcW w:w="0" w:type="auto"/>
                  <w:vAlign w:val="center"/>
                  <w:hideMark/>
                </w:tcPr>
                <w:p w:rsidR="00716B5C" w:rsidRDefault="00716B5C">
                  <w:pPr>
                    <w:jc w:val="right"/>
                    <w:rPr>
                      <w:b/>
                      <w:bCs/>
                      <w:sz w:val="17"/>
                      <w:szCs w:val="17"/>
                    </w:rPr>
                  </w:pPr>
                  <w:r>
                    <w:rPr>
                      <w:b/>
                      <w:bCs/>
                      <w:sz w:val="17"/>
                      <w:szCs w:val="17"/>
                    </w:rPr>
                    <w:t xml:space="preserve"> 471.000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- 343.000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-72,82%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RCAI </w:t>
                  </w:r>
                </w:p>
              </w:tc>
              <w:tc>
                <w:tcPr>
                  <w:tcW w:w="0" w:type="auto"/>
                  <w:vAlign w:val="center"/>
                  <w:hideMark/>
                </w:tcPr>
                <w:p w:rsidR="00716B5C" w:rsidRDefault="00716B5C">
                  <w:pPr>
                    <w:jc w:val="right"/>
                    <w:rPr>
                      <w:b/>
                      <w:bCs/>
                      <w:sz w:val="17"/>
                      <w:szCs w:val="17"/>
                    </w:rPr>
                  </w:pPr>
                  <w:r>
                    <w:rPr>
                      <w:b/>
                      <w:bCs/>
                      <w:sz w:val="17"/>
                      <w:szCs w:val="17"/>
                    </w:rPr>
                    <w:t xml:space="preserve"> 146.000 </w:t>
                  </w:r>
                </w:p>
              </w:tc>
              <w:tc>
                <w:tcPr>
                  <w:tcW w:w="0" w:type="auto"/>
                  <w:vAlign w:val="center"/>
                  <w:hideMark/>
                </w:tcPr>
                <w:p w:rsidR="00716B5C" w:rsidRDefault="00716B5C">
                  <w:pPr>
                    <w:jc w:val="right"/>
                    <w:rPr>
                      <w:b/>
                      <w:bCs/>
                      <w:sz w:val="17"/>
                      <w:szCs w:val="17"/>
                    </w:rPr>
                  </w:pPr>
                  <w:r>
                    <w:rPr>
                      <w:b/>
                      <w:bCs/>
                      <w:sz w:val="17"/>
                      <w:szCs w:val="17"/>
                    </w:rPr>
                    <w:t xml:space="preserve"> 400.000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- 254.000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-63,50%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Résultat net* </w:t>
                  </w:r>
                </w:p>
              </w:tc>
              <w:tc>
                <w:tcPr>
                  <w:tcW w:w="0" w:type="auto"/>
                  <w:vAlign w:val="center"/>
                  <w:hideMark/>
                </w:tcPr>
                <w:p w:rsidR="00716B5C" w:rsidRDefault="00716B5C">
                  <w:pPr>
                    <w:jc w:val="right"/>
                    <w:rPr>
                      <w:b/>
                      <w:bCs/>
                      <w:sz w:val="17"/>
                      <w:szCs w:val="17"/>
                    </w:rPr>
                  </w:pPr>
                  <w:r>
                    <w:rPr>
                      <w:b/>
                      <w:bCs/>
                      <w:sz w:val="17"/>
                      <w:szCs w:val="17"/>
                    </w:rPr>
                    <w:t xml:space="preserve"> 195.000 </w:t>
                  </w:r>
                </w:p>
              </w:tc>
              <w:tc>
                <w:tcPr>
                  <w:tcW w:w="0" w:type="auto"/>
                  <w:vAlign w:val="center"/>
                  <w:hideMark/>
                </w:tcPr>
                <w:p w:rsidR="00716B5C" w:rsidRDefault="00716B5C">
                  <w:pPr>
                    <w:jc w:val="right"/>
                    <w:rPr>
                      <w:b/>
                      <w:bCs/>
                      <w:sz w:val="17"/>
                      <w:szCs w:val="17"/>
                    </w:rPr>
                  </w:pPr>
                  <w:r>
                    <w:rPr>
                      <w:b/>
                      <w:bCs/>
                      <w:sz w:val="17"/>
                      <w:szCs w:val="17"/>
                    </w:rPr>
                    <w:t xml:space="preserve"> 297.000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 - 102.000 </w:t>
                  </w:r>
                </w:p>
              </w:tc>
              <w:tc>
                <w:tcPr>
                  <w:tcW w:w="0" w:type="auto"/>
                  <w:vAlign w:val="center"/>
                  <w:hideMark/>
                </w:tcPr>
                <w:p w:rsidR="00716B5C" w:rsidRDefault="00716B5C">
                  <w:pPr>
                    <w:jc w:val="right"/>
                    <w:rPr>
                      <w:b/>
                      <w:bCs/>
                      <w:color w:val="D94A36"/>
                      <w:sz w:val="17"/>
                      <w:szCs w:val="17"/>
                    </w:rPr>
                  </w:pPr>
                  <w:r>
                    <w:rPr>
                      <w:b/>
                      <w:bCs/>
                      <w:color w:val="D94A36"/>
                      <w:sz w:val="17"/>
                      <w:szCs w:val="17"/>
                    </w:rPr>
                    <w:t xml:space="preserve">-34,34% </w:t>
                  </w:r>
                </w:p>
              </w:tc>
            </w:tr>
            <w:tr w:rsidR="00716B5C">
              <w:trPr>
                <w:tblCellSpacing w:w="0" w:type="dxa"/>
              </w:trPr>
              <w:tc>
                <w:tcPr>
                  <w:tcW w:w="0" w:type="auto"/>
                  <w:gridSpan w:val="5"/>
                  <w:vAlign w:val="center"/>
                  <w:hideMark/>
                </w:tcPr>
                <w:p w:rsidR="00716B5C" w:rsidRDefault="00716B5C">
                  <w:pPr>
                    <w:rPr>
                      <w:sz w:val="17"/>
                      <w:szCs w:val="17"/>
                    </w:rPr>
                  </w:pPr>
                </w:p>
              </w:tc>
            </w:tr>
            <w:tr w:rsidR="00716B5C">
              <w:trPr>
                <w:trHeight w:val="15"/>
                <w:tblCellSpacing w:w="0" w:type="dxa"/>
              </w:trPr>
              <w:tc>
                <w:tcPr>
                  <w:tcW w:w="0" w:type="auto"/>
                  <w:gridSpan w:val="5"/>
                  <w:vAlign w:val="center"/>
                  <w:hideMark/>
                </w:tcPr>
                <w:p w:rsidR="00716B5C" w:rsidRDefault="00716B5C">
                  <w:pPr>
                    <w:rPr>
                      <w:sz w:val="2"/>
                      <w:szCs w:val="17"/>
                    </w:rPr>
                  </w:pPr>
                </w:p>
              </w:tc>
            </w:tr>
            <w:tr w:rsidR="00716B5C">
              <w:trPr>
                <w:tblCellSpacing w:w="0" w:type="dxa"/>
              </w:trPr>
              <w:tc>
                <w:tcPr>
                  <w:tcW w:w="0" w:type="auto"/>
                  <w:gridSpan w:val="5"/>
                  <w:vAlign w:val="center"/>
                  <w:hideMark/>
                </w:tcPr>
                <w:p w:rsidR="00716B5C" w:rsidRDefault="00716B5C">
                  <w:pPr>
                    <w:rPr>
                      <w:sz w:val="17"/>
                      <w:szCs w:val="17"/>
                    </w:rPr>
                  </w:pPr>
                </w:p>
              </w:tc>
            </w:tr>
            <w:tr w:rsidR="00716B5C">
              <w:trPr>
                <w:tblCellSpacing w:w="0" w:type="dxa"/>
              </w:trPr>
              <w:tc>
                <w:tcPr>
                  <w:tcW w:w="0" w:type="auto"/>
                  <w:vAlign w:val="center"/>
                  <w:hideMark/>
                </w:tcPr>
                <w:p w:rsidR="00716B5C" w:rsidRDefault="00716B5C">
                  <w:pPr>
                    <w:rPr>
                      <w:b/>
                      <w:bCs/>
                      <w:sz w:val="17"/>
                      <w:szCs w:val="17"/>
                    </w:rPr>
                  </w:pPr>
                  <w:r>
                    <w:rPr>
                      <w:b/>
                      <w:bCs/>
                      <w:sz w:val="17"/>
                      <w:szCs w:val="17"/>
                    </w:rPr>
                    <w:t xml:space="preserve">Effectif moyen </w:t>
                  </w:r>
                </w:p>
              </w:tc>
              <w:tc>
                <w:tcPr>
                  <w:tcW w:w="0" w:type="auto"/>
                  <w:vAlign w:val="center"/>
                  <w:hideMark/>
                </w:tcPr>
                <w:p w:rsidR="00716B5C" w:rsidRDefault="00716B5C">
                  <w:pPr>
                    <w:jc w:val="right"/>
                    <w:rPr>
                      <w:b/>
                      <w:bCs/>
                      <w:sz w:val="17"/>
                      <w:szCs w:val="17"/>
                    </w:rPr>
                  </w:pPr>
                  <w:r>
                    <w:rPr>
                      <w:b/>
                      <w:bCs/>
                      <w:sz w:val="17"/>
                      <w:szCs w:val="17"/>
                    </w:rPr>
                    <w:t xml:space="preserve"> 7 </w:t>
                  </w:r>
                </w:p>
              </w:tc>
              <w:tc>
                <w:tcPr>
                  <w:tcW w:w="0" w:type="auto"/>
                  <w:vAlign w:val="center"/>
                  <w:hideMark/>
                </w:tcPr>
                <w:p w:rsidR="00716B5C" w:rsidRDefault="00716B5C">
                  <w:pPr>
                    <w:jc w:val="right"/>
                    <w:rPr>
                      <w:b/>
                      <w:bCs/>
                      <w:sz w:val="17"/>
                      <w:szCs w:val="17"/>
                    </w:rPr>
                  </w:pPr>
                  <w:r>
                    <w:rPr>
                      <w:b/>
                      <w:bCs/>
                      <w:sz w:val="17"/>
                      <w:szCs w:val="17"/>
                    </w:rPr>
                    <w:t xml:space="preserve"> 6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 1 </w:t>
                  </w:r>
                </w:p>
              </w:tc>
              <w:tc>
                <w:tcPr>
                  <w:tcW w:w="0" w:type="auto"/>
                  <w:vAlign w:val="center"/>
                  <w:hideMark/>
                </w:tcPr>
                <w:p w:rsidR="00716B5C" w:rsidRDefault="00716B5C">
                  <w:pPr>
                    <w:jc w:val="right"/>
                    <w:rPr>
                      <w:b/>
                      <w:bCs/>
                      <w:color w:val="000000"/>
                      <w:sz w:val="17"/>
                      <w:szCs w:val="17"/>
                    </w:rPr>
                  </w:pPr>
                  <w:r>
                    <w:rPr>
                      <w:b/>
                      <w:bCs/>
                      <w:color w:val="000000"/>
                      <w:sz w:val="17"/>
                      <w:szCs w:val="17"/>
                    </w:rPr>
                    <w:t xml:space="preserve">+16,67% </w:t>
                  </w:r>
                </w:p>
              </w:tc>
            </w:tr>
          </w:tbl>
          <w:p w:rsidR="00716B5C" w:rsidRDefault="00716B5C">
            <w:pPr>
              <w:rPr>
                <w:sz w:val="24"/>
                <w:szCs w:val="24"/>
              </w:rPr>
            </w:pPr>
          </w:p>
        </w:tc>
      </w:tr>
    </w:tbl>
    <w:p w:rsidR="00716B5C" w:rsidRDefault="00716B5C" w:rsidP="00716B5C"/>
    <w:p w:rsidR="00716B5C" w:rsidRDefault="00716B5C" w:rsidP="00716B5C"/>
    <w:sectPr w:rsidR="00716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9E"/>
    <w:rsid w:val="0033559E"/>
    <w:rsid w:val="00601EC8"/>
    <w:rsid w:val="00716B5C"/>
    <w:rsid w:val="00FF10C7"/>
    <w:rsid w:val="00FF7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16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F7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B5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716B5C"/>
    <w:rPr>
      <w:color w:val="0000FF" w:themeColor="hyperlink"/>
      <w:u w:val="single"/>
    </w:rPr>
  </w:style>
  <w:style w:type="paragraph" w:styleId="Textedebulles">
    <w:name w:val="Balloon Text"/>
    <w:basedOn w:val="Normal"/>
    <w:link w:val="TextedebullesCar"/>
    <w:uiPriority w:val="99"/>
    <w:semiHidden/>
    <w:unhideWhenUsed/>
    <w:rsid w:val="00716B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B5C"/>
    <w:rPr>
      <w:rFonts w:ascii="Tahoma" w:hAnsi="Tahoma" w:cs="Tahoma"/>
      <w:sz w:val="16"/>
      <w:szCs w:val="16"/>
    </w:rPr>
  </w:style>
  <w:style w:type="character" w:customStyle="1" w:styleId="Titre2Car">
    <w:name w:val="Titre 2 Car"/>
    <w:basedOn w:val="Policepardfaut"/>
    <w:link w:val="Titre2"/>
    <w:uiPriority w:val="9"/>
    <w:semiHidden/>
    <w:rsid w:val="00FF76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16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F7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B5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716B5C"/>
    <w:rPr>
      <w:color w:val="0000FF" w:themeColor="hyperlink"/>
      <w:u w:val="single"/>
    </w:rPr>
  </w:style>
  <w:style w:type="paragraph" w:styleId="Textedebulles">
    <w:name w:val="Balloon Text"/>
    <w:basedOn w:val="Normal"/>
    <w:link w:val="TextedebullesCar"/>
    <w:uiPriority w:val="99"/>
    <w:semiHidden/>
    <w:unhideWhenUsed/>
    <w:rsid w:val="00716B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B5C"/>
    <w:rPr>
      <w:rFonts w:ascii="Tahoma" w:hAnsi="Tahoma" w:cs="Tahoma"/>
      <w:sz w:val="16"/>
      <w:szCs w:val="16"/>
    </w:rPr>
  </w:style>
  <w:style w:type="character" w:customStyle="1" w:styleId="Titre2Car">
    <w:name w:val="Titre 2 Car"/>
    <w:basedOn w:val="Policepardfaut"/>
    <w:link w:val="Titre2"/>
    <w:uiPriority w:val="9"/>
    <w:semiHidden/>
    <w:rsid w:val="00FF76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020">
      <w:bodyDiv w:val="1"/>
      <w:marLeft w:val="0"/>
      <w:marRight w:val="0"/>
      <w:marTop w:val="0"/>
      <w:marBottom w:val="0"/>
      <w:divBdr>
        <w:top w:val="none" w:sz="0" w:space="0" w:color="auto"/>
        <w:left w:val="none" w:sz="0" w:space="0" w:color="auto"/>
        <w:bottom w:val="none" w:sz="0" w:space="0" w:color="auto"/>
        <w:right w:val="none" w:sz="0" w:space="0" w:color="auto"/>
      </w:divBdr>
    </w:div>
    <w:div w:id="443888402">
      <w:bodyDiv w:val="1"/>
      <w:marLeft w:val="0"/>
      <w:marRight w:val="0"/>
      <w:marTop w:val="0"/>
      <w:marBottom w:val="0"/>
      <w:divBdr>
        <w:top w:val="none" w:sz="0" w:space="0" w:color="auto"/>
        <w:left w:val="none" w:sz="0" w:space="0" w:color="auto"/>
        <w:bottom w:val="none" w:sz="0" w:space="0" w:color="auto"/>
        <w:right w:val="none" w:sz="0" w:space="0" w:color="auto"/>
      </w:divBdr>
      <w:divsChild>
        <w:div w:id="1154292890">
          <w:marLeft w:val="0"/>
          <w:marRight w:val="0"/>
          <w:marTop w:val="0"/>
          <w:marBottom w:val="0"/>
          <w:divBdr>
            <w:top w:val="none" w:sz="0" w:space="0" w:color="auto"/>
            <w:left w:val="none" w:sz="0" w:space="0" w:color="auto"/>
            <w:bottom w:val="none" w:sz="0" w:space="0" w:color="auto"/>
            <w:right w:val="none" w:sz="0" w:space="0" w:color="auto"/>
          </w:divBdr>
        </w:div>
        <w:div w:id="154683450">
          <w:marLeft w:val="0"/>
          <w:marRight w:val="0"/>
          <w:marTop w:val="0"/>
          <w:marBottom w:val="0"/>
          <w:divBdr>
            <w:top w:val="none" w:sz="0" w:space="0" w:color="auto"/>
            <w:left w:val="none" w:sz="0" w:space="0" w:color="auto"/>
            <w:bottom w:val="none" w:sz="0" w:space="0" w:color="auto"/>
            <w:right w:val="none" w:sz="0" w:space="0" w:color="auto"/>
          </w:divBdr>
        </w:div>
      </w:divsChild>
    </w:div>
    <w:div w:id="1077940488">
      <w:bodyDiv w:val="1"/>
      <w:marLeft w:val="0"/>
      <w:marRight w:val="0"/>
      <w:marTop w:val="0"/>
      <w:marBottom w:val="0"/>
      <w:divBdr>
        <w:top w:val="none" w:sz="0" w:space="0" w:color="auto"/>
        <w:left w:val="none" w:sz="0" w:space="0" w:color="auto"/>
        <w:bottom w:val="none" w:sz="0" w:space="0" w:color="auto"/>
        <w:right w:val="none" w:sz="0" w:space="0" w:color="auto"/>
      </w:divBdr>
      <w:divsChild>
        <w:div w:id="760222845">
          <w:marLeft w:val="0"/>
          <w:marRight w:val="0"/>
          <w:marTop w:val="0"/>
          <w:marBottom w:val="0"/>
          <w:divBdr>
            <w:top w:val="none" w:sz="0" w:space="0" w:color="auto"/>
            <w:left w:val="none" w:sz="0" w:space="0" w:color="auto"/>
            <w:bottom w:val="none" w:sz="0" w:space="0" w:color="auto"/>
            <w:right w:val="none" w:sz="0" w:space="0" w:color="auto"/>
          </w:divBdr>
        </w:div>
        <w:div w:id="1090196250">
          <w:marLeft w:val="0"/>
          <w:marRight w:val="0"/>
          <w:marTop w:val="0"/>
          <w:marBottom w:val="0"/>
          <w:divBdr>
            <w:top w:val="none" w:sz="0" w:space="0" w:color="auto"/>
            <w:left w:val="none" w:sz="0" w:space="0" w:color="auto"/>
            <w:bottom w:val="none" w:sz="0" w:space="0" w:color="auto"/>
            <w:right w:val="none" w:sz="0" w:space="0" w:color="auto"/>
          </w:divBdr>
        </w:div>
        <w:div w:id="1059018712">
          <w:marLeft w:val="0"/>
          <w:marRight w:val="0"/>
          <w:marTop w:val="0"/>
          <w:marBottom w:val="0"/>
          <w:divBdr>
            <w:top w:val="none" w:sz="0" w:space="0" w:color="auto"/>
            <w:left w:val="none" w:sz="0" w:space="0" w:color="auto"/>
            <w:bottom w:val="none" w:sz="0" w:space="0" w:color="auto"/>
            <w:right w:val="none" w:sz="0" w:space="0" w:color="auto"/>
          </w:divBdr>
        </w:div>
      </w:divsChild>
    </w:div>
    <w:div w:id="1101341101">
      <w:bodyDiv w:val="1"/>
      <w:marLeft w:val="0"/>
      <w:marRight w:val="0"/>
      <w:marTop w:val="0"/>
      <w:marBottom w:val="0"/>
      <w:divBdr>
        <w:top w:val="none" w:sz="0" w:space="0" w:color="auto"/>
        <w:left w:val="none" w:sz="0" w:space="0" w:color="auto"/>
        <w:bottom w:val="none" w:sz="0" w:space="0" w:color="auto"/>
        <w:right w:val="none" w:sz="0" w:space="0" w:color="auto"/>
      </w:divBdr>
    </w:div>
    <w:div w:id="1549686077">
      <w:bodyDiv w:val="1"/>
      <w:marLeft w:val="0"/>
      <w:marRight w:val="0"/>
      <w:marTop w:val="0"/>
      <w:marBottom w:val="0"/>
      <w:divBdr>
        <w:top w:val="none" w:sz="0" w:space="0" w:color="auto"/>
        <w:left w:val="none" w:sz="0" w:space="0" w:color="auto"/>
        <w:bottom w:val="none" w:sz="0" w:space="0" w:color="auto"/>
        <w:right w:val="none" w:sz="0" w:space="0" w:color="auto"/>
      </w:divBdr>
    </w:div>
    <w:div w:id="1584679947">
      <w:bodyDiv w:val="1"/>
      <w:marLeft w:val="0"/>
      <w:marRight w:val="0"/>
      <w:marTop w:val="0"/>
      <w:marBottom w:val="0"/>
      <w:divBdr>
        <w:top w:val="none" w:sz="0" w:space="0" w:color="auto"/>
        <w:left w:val="none" w:sz="0" w:space="0" w:color="auto"/>
        <w:bottom w:val="none" w:sz="0" w:space="0" w:color="auto"/>
        <w:right w:val="none" w:sz="0" w:space="0" w:color="auto"/>
      </w:divBdr>
    </w:div>
    <w:div w:id="1991403253">
      <w:bodyDiv w:val="1"/>
      <w:marLeft w:val="0"/>
      <w:marRight w:val="0"/>
      <w:marTop w:val="0"/>
      <w:marBottom w:val="0"/>
      <w:divBdr>
        <w:top w:val="none" w:sz="0" w:space="0" w:color="auto"/>
        <w:left w:val="none" w:sz="0" w:space="0" w:color="auto"/>
        <w:bottom w:val="none" w:sz="0" w:space="0" w:color="auto"/>
        <w:right w:val="none" w:sz="0" w:space="0" w:color="auto"/>
      </w:divBdr>
      <w:divsChild>
        <w:div w:id="1953124151">
          <w:marLeft w:val="0"/>
          <w:marRight w:val="0"/>
          <w:marTop w:val="0"/>
          <w:marBottom w:val="0"/>
          <w:divBdr>
            <w:top w:val="none" w:sz="0" w:space="0" w:color="auto"/>
            <w:left w:val="none" w:sz="0" w:space="0" w:color="auto"/>
            <w:bottom w:val="none" w:sz="0" w:space="0" w:color="auto"/>
            <w:right w:val="none" w:sz="0" w:space="0" w:color="auto"/>
          </w:divBdr>
        </w:div>
        <w:div w:id="2033066191">
          <w:marLeft w:val="0"/>
          <w:marRight w:val="0"/>
          <w:marTop w:val="0"/>
          <w:marBottom w:val="0"/>
          <w:divBdr>
            <w:top w:val="none" w:sz="0" w:space="0" w:color="auto"/>
            <w:left w:val="none" w:sz="0" w:space="0" w:color="auto"/>
            <w:bottom w:val="none" w:sz="0" w:space="0" w:color="auto"/>
            <w:right w:val="none" w:sz="0" w:space="0" w:color="auto"/>
          </w:divBdr>
        </w:div>
        <w:div w:id="193058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ociete.com/cgi-bin/vitrine?rncs=3787846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ciete.com/bilan/bartec/378784623200912311378784623200812311.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ociete.com/bilan/bartec/378784623200912311378784623200812311.html" TargetMode="External"/><Relationship Id="rId1" Type="http://schemas.openxmlformats.org/officeDocument/2006/relationships/styles" Target="styles.xml"/><Relationship Id="rId6" Type="http://schemas.openxmlformats.org/officeDocument/2006/relationships/hyperlink" Target="http://www.societe.com/bilan/babich-sa/466202355200912311466202355200812311.html" TargetMode="External"/><Relationship Id="rId11" Type="http://schemas.openxmlformats.org/officeDocument/2006/relationships/hyperlink" Target="http://www.bartec.eu/index2.html" TargetMode="External"/><Relationship Id="rId5" Type="http://schemas.openxmlformats.org/officeDocument/2006/relationships/hyperlink" Target="http://www.societe.com/societe/babich-sa-466202355.html" TargetMode="External"/><Relationship Id="rId15" Type="http://schemas.openxmlformats.org/officeDocument/2006/relationships/hyperlink" Target="http://www.societe.com/cgi-bin/vitrine?rncs=378784623" TargetMode="External"/><Relationship Id="rId10" Type="http://schemas.openxmlformats.org/officeDocument/2006/relationships/hyperlink" Target="http://www.societe.com/bilan/babich-sa/466202355200912311466202355200812311.html" TargetMode="External"/><Relationship Id="rId4" Type="http://schemas.openxmlformats.org/officeDocument/2006/relationships/webSettings" Target="webSettings.xml"/><Relationship Id="rId9" Type="http://schemas.openxmlformats.org/officeDocument/2006/relationships/hyperlink" Target="http://www.societe.com/cgi-bin/vitrine?rncs=466202355" TargetMode="External"/><Relationship Id="rId14" Type="http://schemas.openxmlformats.org/officeDocument/2006/relationships/hyperlink" Target="http://www.societe.com/bilan/bartec/37878462320091231137878462320081231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819</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3</cp:revision>
  <dcterms:created xsi:type="dcterms:W3CDTF">2010-11-05T11:11:00Z</dcterms:created>
  <dcterms:modified xsi:type="dcterms:W3CDTF">2010-11-05T13:28:00Z</dcterms:modified>
</cp:coreProperties>
</file>