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50" w:rsidRPr="00B35CCD" w:rsidRDefault="00CC74A7" w:rsidP="000C05E6">
      <w:pPr>
        <w:jc w:val="both"/>
        <w:rPr>
          <w:rFonts w:asciiTheme="minorHAnsi" w:hAnsiTheme="minorHAnsi" w:cs="Arial"/>
          <w:b/>
          <w:bCs/>
          <w:color w:val="C00000"/>
          <w:sz w:val="16"/>
          <w:szCs w:val="16"/>
        </w:rPr>
      </w:pPr>
      <w:r w:rsidRPr="00CC74A7">
        <w:rPr>
          <w:rFonts w:asciiTheme="minorHAnsi" w:hAnsiTheme="minorHAnsi" w:cs="Arial"/>
          <w:b/>
          <w:bCs/>
          <w:noProof/>
          <w:color w:val="C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95pt;margin-top:-43.75pt;width:480.4pt;height:21.95pt;z-index:251661312" strokecolor="#b10f32" strokeweight=".5pt">
            <v:textbox>
              <w:txbxContent>
                <w:p w:rsidR="00477236" w:rsidRPr="000C05E6" w:rsidRDefault="00477236" w:rsidP="00477236">
                  <w:pPr>
                    <w:jc w:val="center"/>
                    <w:rPr>
                      <w:color w:val="B10F32"/>
                    </w:rPr>
                  </w:pPr>
                  <w:r w:rsidRPr="000C05E6">
                    <w:rPr>
                      <w:rFonts w:asciiTheme="minorHAnsi" w:hAnsiTheme="minorHAnsi" w:cs="Arial"/>
                      <w:b/>
                      <w:bCs/>
                      <w:color w:val="B10F32"/>
                    </w:rPr>
                    <w:t xml:space="preserve">Notre vocation : Conseil en stratégie sociale, management </w:t>
                  </w:r>
                  <w:r w:rsidR="001B2B0F">
                    <w:rPr>
                      <w:rFonts w:asciiTheme="minorHAnsi" w:hAnsiTheme="minorHAnsi" w:cs="Arial"/>
                      <w:b/>
                      <w:bCs/>
                      <w:color w:val="B10F32"/>
                    </w:rPr>
                    <w:t xml:space="preserve">du </w:t>
                  </w:r>
                  <w:r w:rsidRPr="000C05E6">
                    <w:rPr>
                      <w:rFonts w:asciiTheme="minorHAnsi" w:hAnsiTheme="minorHAnsi" w:cs="Arial"/>
                      <w:b/>
                      <w:bCs/>
                      <w:color w:val="B10F32"/>
                    </w:rPr>
                    <w:t>changement et communication</w:t>
                  </w:r>
                </w:p>
              </w:txbxContent>
            </v:textbox>
          </v:shape>
        </w:pict>
      </w:r>
      <w:r w:rsidR="00136950" w:rsidRPr="00832810">
        <w:rPr>
          <w:rFonts w:asciiTheme="minorHAnsi" w:hAnsiTheme="minorHAnsi"/>
          <w:color w:val="44546A" w:themeColor="text2"/>
          <w:sz w:val="20"/>
          <w:szCs w:val="20"/>
        </w:rPr>
        <w:t>Nous avons développé une démarche s'inscrivant dans la stratégie sociale</w:t>
      </w:r>
      <w:r w:rsidR="00136950"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des entreprises. Notre accompagnement favorise les interactions positives entre des équipes et les membres de la Direction pour vivre </w:t>
      </w:r>
      <w:r w:rsidR="00136950" w:rsidRPr="00832810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>les transformations des organisations</w:t>
      </w:r>
      <w:r w:rsidR="00136950"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autrement que dans le rapport de force, la crainte et le stress (notamment dans des contextes de restructurations, mutations économiques, fusions-acquisitions).</w:t>
      </w:r>
    </w:p>
    <w:p w:rsidR="00136950" w:rsidRPr="00B35CCD" w:rsidRDefault="00136950" w:rsidP="00DB47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Nous accompagnons les entreprises sur les thèmes de la qualité de vie au travail, de la prévention de l'absentéisme et des risques psychosociaux.</w:t>
      </w:r>
      <w:r w:rsidRPr="00832810">
        <w:rPr>
          <w:rFonts w:asciiTheme="minorHAnsi" w:hAnsiTheme="minorHAnsi" w:cs="Arial"/>
          <w:color w:val="44546A" w:themeColor="text2"/>
          <w:sz w:val="16"/>
          <w:szCs w:val="16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B35CCD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color w:val="44546A" w:themeColor="text2"/>
          <w:sz w:val="20"/>
          <w:szCs w:val="20"/>
          <w:shd w:val="clear" w:color="auto" w:fill="FFFFFF"/>
        </w:rPr>
      </w:pPr>
      <w:r w:rsidRPr="00B35CCD">
        <w:rPr>
          <w:rFonts w:asciiTheme="minorHAnsi" w:hAnsiTheme="minorHAnsi" w:cs="Arial"/>
          <w:b/>
          <w:color w:val="44546A" w:themeColor="text2"/>
          <w:sz w:val="20"/>
          <w:szCs w:val="20"/>
        </w:rPr>
        <w:t>Nous intervenons avec le souci constant de répondre au plus près des attentes de nos interlocuteurs quel que soit les demandes:</w:t>
      </w:r>
      <w:r w:rsidRPr="00B35CCD">
        <w:rPr>
          <w:rFonts w:asciiTheme="minorHAnsi" w:hAnsiTheme="minorHAnsi" w:cs="Arial"/>
          <w:b/>
          <w:color w:val="44546A" w:themeColor="text2"/>
          <w:sz w:val="20"/>
          <w:szCs w:val="20"/>
          <w:shd w:val="clear" w:color="auto" w:fill="FFFFFF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Diagnostics,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Dispositifs de prévention et de médiation,</w:t>
      </w:r>
    </w:p>
    <w:p w:rsidR="008D035F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Construction et pilotage des plans </w:t>
      </w:r>
      <w:r w:rsidR="00B23D79">
        <w:rPr>
          <w:rFonts w:asciiTheme="minorHAnsi" w:hAnsiTheme="minorHAnsi" w:cs="Arial"/>
          <w:color w:val="44546A" w:themeColor="text2"/>
          <w:sz w:val="20"/>
          <w:szCs w:val="20"/>
        </w:rPr>
        <w:t>d’accompagnement du changement,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</w:t>
      </w:r>
    </w:p>
    <w:p w:rsidR="00136950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Analyse des impacts humains et organisationnels des projets de changement.</w:t>
      </w: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0C05E6" w:rsidRDefault="00136950" w:rsidP="00A90C97">
      <w:p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jc w:val="both"/>
        <w:rPr>
          <w:rFonts w:asciiTheme="minorHAnsi" w:hAnsiTheme="minorHAnsi" w:cs="Calibri"/>
          <w:b/>
          <w:color w:val="323E4F" w:themeColor="text2" w:themeShade="BF"/>
          <w:sz w:val="16"/>
          <w:szCs w:val="16"/>
        </w:rPr>
      </w:pPr>
      <w:r w:rsidRPr="000C05E6">
        <w:rPr>
          <w:rFonts w:asciiTheme="minorHAnsi" w:hAnsiTheme="minorHAnsi" w:cs="Calibri"/>
          <w:b/>
          <w:color w:val="323E4F" w:themeColor="text2" w:themeShade="BF"/>
          <w:sz w:val="20"/>
          <w:szCs w:val="20"/>
        </w:rPr>
        <w:t xml:space="preserve">Concrètement, nous aidons les </w:t>
      </w:r>
      <w:r w:rsidR="008D035F" w:rsidRPr="000C05E6">
        <w:rPr>
          <w:rFonts w:asciiTheme="minorHAnsi" w:hAnsiTheme="minorHAnsi" w:cs="Calibri"/>
          <w:b/>
          <w:color w:val="323E4F" w:themeColor="text2" w:themeShade="BF"/>
          <w:sz w:val="20"/>
          <w:szCs w:val="20"/>
        </w:rPr>
        <w:t>entreprises</w:t>
      </w:r>
      <w:r w:rsidRPr="000C05E6">
        <w:rPr>
          <w:rFonts w:asciiTheme="minorHAnsi" w:hAnsiTheme="minorHAnsi" w:cs="Calibri"/>
          <w:b/>
          <w:color w:val="323E4F" w:themeColor="text2" w:themeShade="BF"/>
          <w:sz w:val="20"/>
          <w:szCs w:val="20"/>
        </w:rPr>
        <w:t xml:space="preserve"> à construire un management de la santé, en l'intégrant aux projets et aux enjeux de l'entreprise par un accompagnement spécifique auprès :</w:t>
      </w:r>
    </w:p>
    <w:p w:rsidR="00136950" w:rsidRPr="00832810" w:rsidRDefault="00136950" w:rsidP="00A90C97">
      <w:p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jc w:val="both"/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832810" w:rsidRDefault="00136950" w:rsidP="00A90C97">
      <w:pPr>
        <w:numPr>
          <w:ilvl w:val="0"/>
          <w:numId w:val="1"/>
        </w:num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ind w:left="240" w:hanging="240"/>
        <w:jc w:val="both"/>
        <w:rPr>
          <w:rFonts w:asciiTheme="minorHAnsi" w:hAnsiTheme="minorHAnsi" w:cs="Calibri"/>
          <w:color w:val="44546A" w:themeColor="text2"/>
          <w:sz w:val="20"/>
          <w:szCs w:val="20"/>
        </w:rPr>
      </w:pPr>
      <w:r w:rsidRPr="00A90C97">
        <w:rPr>
          <w:rFonts w:asciiTheme="minorHAnsi" w:hAnsiTheme="minorHAnsi" w:cs="Calibri"/>
          <w:b/>
          <w:color w:val="44546A" w:themeColor="text2"/>
          <w:sz w:val="20"/>
          <w:szCs w:val="20"/>
          <w:u w:val="single"/>
        </w:rPr>
        <w:t>des équipes de direction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 pour </w:t>
      </w:r>
      <w:r w:rsidR="00257348" w:rsidRPr="00832810">
        <w:rPr>
          <w:rFonts w:asciiTheme="minorHAnsi" w:hAnsiTheme="minorHAnsi" w:cs="Calibri"/>
          <w:color w:val="44546A" w:themeColor="text2"/>
          <w:sz w:val="20"/>
          <w:szCs w:val="20"/>
        </w:rPr>
        <w:t>ac</w:t>
      </w:r>
      <w:r w:rsidR="00D53C06" w:rsidRPr="00832810">
        <w:rPr>
          <w:rFonts w:asciiTheme="minorHAnsi" w:hAnsiTheme="minorHAnsi" w:cs="Calibri"/>
          <w:color w:val="44546A" w:themeColor="text2"/>
          <w:sz w:val="20"/>
          <w:szCs w:val="20"/>
        </w:rPr>
        <w:t>compagner leur dynamique humaine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;</w:t>
      </w:r>
    </w:p>
    <w:p w:rsidR="00136950" w:rsidRPr="00832810" w:rsidRDefault="00C7717C" w:rsidP="00A90C97">
      <w:pPr>
        <w:numPr>
          <w:ilvl w:val="0"/>
          <w:numId w:val="1"/>
        </w:num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ind w:left="24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A90C97">
        <w:rPr>
          <w:rFonts w:asciiTheme="minorHAnsi" w:hAnsiTheme="minorHAnsi" w:cs="Arial"/>
          <w:b/>
          <w:color w:val="44546A" w:themeColor="text2"/>
          <w:sz w:val="20"/>
          <w:szCs w:val="20"/>
          <w:u w:val="single"/>
        </w:rPr>
        <w:t>des équipes des Ressources Humaines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, pour proposer des actions de prévention et de communication, leviers d’un bon climat social</w:t>
      </w:r>
      <w:r w:rsid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;</w:t>
      </w:r>
    </w:p>
    <w:p w:rsidR="00136950" w:rsidRPr="00832810" w:rsidRDefault="00136950" w:rsidP="00A90C97">
      <w:pPr>
        <w:numPr>
          <w:ilvl w:val="0"/>
          <w:numId w:val="1"/>
        </w:num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ind w:left="24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A90C97">
        <w:rPr>
          <w:rFonts w:asciiTheme="minorHAnsi" w:hAnsiTheme="minorHAnsi" w:cs="Calibri"/>
          <w:b/>
          <w:color w:val="44546A" w:themeColor="text2"/>
          <w:sz w:val="20"/>
          <w:szCs w:val="20"/>
          <w:u w:val="single"/>
        </w:rPr>
        <w:t>des managers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orienter vers une posture managériale leur permettent de prévenir les risques psycho-sociaux au sein des équipes ;</w:t>
      </w:r>
    </w:p>
    <w:p w:rsidR="00136950" w:rsidRPr="00D87147" w:rsidRDefault="00136950" w:rsidP="00A90C97">
      <w:pPr>
        <w:numPr>
          <w:ilvl w:val="0"/>
          <w:numId w:val="1"/>
        </w:num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ind w:left="240" w:hanging="240"/>
        <w:jc w:val="both"/>
        <w:rPr>
          <w:rFonts w:asciiTheme="minorHAnsi" w:hAnsiTheme="minorHAnsi" w:cs="Calibri"/>
          <w:color w:val="44546A" w:themeColor="text2"/>
          <w:sz w:val="16"/>
          <w:szCs w:val="16"/>
        </w:rPr>
      </w:pPr>
      <w:r w:rsidRPr="00A90C97">
        <w:rPr>
          <w:rFonts w:asciiTheme="minorHAnsi" w:hAnsiTheme="minorHAnsi" w:cs="Calibri"/>
          <w:b/>
          <w:color w:val="44546A" w:themeColor="text2"/>
          <w:sz w:val="20"/>
          <w:szCs w:val="20"/>
          <w:u w:val="single"/>
        </w:rPr>
        <w:t>des collaborateurs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aider à mieux se connaître en situation de stress (gestion de conflit, capacité de récupération, vigilance, aptitudes relationnelles)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>.</w:t>
      </w:r>
    </w:p>
    <w:p w:rsidR="00D87147" w:rsidRDefault="00D87147" w:rsidP="00D87147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D87147" w:rsidRPr="000C05E6" w:rsidRDefault="00D87147" w:rsidP="00D87147">
      <w:pPr>
        <w:rPr>
          <w:rFonts w:asciiTheme="minorHAnsi" w:hAnsiTheme="minorHAnsi" w:cs="Arial"/>
          <w:b/>
          <w:color w:val="B10F32"/>
          <w:sz w:val="16"/>
          <w:szCs w:val="16"/>
        </w:rPr>
      </w:pPr>
      <w:r w:rsidRPr="000C05E6">
        <w:rPr>
          <w:rFonts w:asciiTheme="minorHAnsi" w:hAnsiTheme="minorHAnsi" w:cs="Arial"/>
          <w:b/>
          <w:color w:val="B10F32"/>
        </w:rPr>
        <w:t>Notre méthodologie :</w:t>
      </w:r>
    </w:p>
    <w:p w:rsidR="00D87147" w:rsidRPr="00832810" w:rsidRDefault="00D87147" w:rsidP="00D87147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477236" w:rsidRPr="00832810" w:rsidRDefault="00477236" w:rsidP="000C05E6">
      <w:pPr>
        <w:numPr>
          <w:ilvl w:val="3"/>
          <w:numId w:val="1"/>
        </w:numPr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>Faire travailler les équipes en présence en harmonie,</w:t>
      </w:r>
    </w:p>
    <w:p w:rsidR="00477236" w:rsidRPr="00832810" w:rsidRDefault="00477236" w:rsidP="000C05E6">
      <w:pPr>
        <w:numPr>
          <w:ilvl w:val="3"/>
          <w:numId w:val="1"/>
        </w:numPr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 xml:space="preserve"> </w:t>
      </w: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Articuler la qualité de vie au travail et la politique de l'entreprise, </w:t>
      </w:r>
    </w:p>
    <w:p w:rsidR="00477236" w:rsidRPr="00832810" w:rsidRDefault="00477236" w:rsidP="000C05E6">
      <w:pPr>
        <w:numPr>
          <w:ilvl w:val="3"/>
          <w:numId w:val="1"/>
        </w:numPr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 Aider les collaborateurs à gérer le stress lié à des contraintes  environnementales et économiques,</w:t>
      </w:r>
    </w:p>
    <w:p w:rsidR="00BA35B1" w:rsidRPr="00477236" w:rsidRDefault="00477236" w:rsidP="000C05E6">
      <w:pPr>
        <w:numPr>
          <w:ilvl w:val="3"/>
          <w:numId w:val="1"/>
        </w:numPr>
        <w:tabs>
          <w:tab w:val="left" w:pos="360"/>
        </w:tabs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lastRenderedPageBreak/>
        <w:t xml:space="preserve"> Valoriser la culture de l'entreprise en ayant un état d'esprit différent,</w:t>
      </w:r>
    </w:p>
    <w:p w:rsidR="00562381" w:rsidRPr="000C05E6" w:rsidRDefault="00C30364" w:rsidP="000C05E6">
      <w:pPr>
        <w:numPr>
          <w:ilvl w:val="3"/>
          <w:numId w:val="1"/>
        </w:numPr>
        <w:tabs>
          <w:tab w:val="left" w:pos="360"/>
        </w:tabs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050103">
        <w:rPr>
          <w:rFonts w:asciiTheme="minorHAnsi" w:eastAsia="Calibri" w:hAnsiTheme="minorHAnsi" w:cs="Calibri"/>
          <w:color w:val="44546A" w:themeColor="text2"/>
          <w:sz w:val="20"/>
          <w:szCs w:val="20"/>
        </w:rPr>
        <w:t>Travailler sur les complémentarités des compétences de chacun.</w:t>
      </w:r>
    </w:p>
    <w:p w:rsidR="00C30364" w:rsidRPr="00832810" w:rsidRDefault="00562381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porte sur une analyse de la situation avec l’équipe de direction et avec les ressources concernées. Cette analyse 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>peut se faire, en fonction des besoins,</w:t>
      </w:r>
      <w:r w:rsidR="00C30364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sur la base d’un à plusieurs entretiens menés en présentiels ou à distance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voire des sessions d’expression collective. L’objectif étant d’arriver à cerner conjointement les meilleures actions à mener au vu de</w:t>
      </w:r>
      <w:r w:rsidR="00BC7993" w:rsidRPr="00832810">
        <w:rPr>
          <w:rFonts w:asciiTheme="minorHAnsi" w:hAnsiTheme="minorHAnsi"/>
          <w:color w:val="44546A" w:themeColor="text2"/>
          <w:sz w:val="20"/>
          <w:szCs w:val="20"/>
        </w:rPr>
        <w:t>s situations.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donne suite à un compte rendu qui met en valeur  le contexte, la demande exprimée par les différents interlocuteurs et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nos modalités d’intervention.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62381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Nous avons toujours à cœur d’être au plus proche des attentes de nos interlocuteurs.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Nous proposons de manière systématique un test grandeur nature qui permet de rendre compte concrètement de notre savo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ir-faire et des outils préconisés.</w:t>
      </w:r>
    </w:p>
    <w:p w:rsidR="00D93B03" w:rsidRPr="00050103" w:rsidRDefault="00D93B03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D93B03" w:rsidRPr="00B35CCD" w:rsidRDefault="00D93B03" w:rsidP="005241A0">
      <w:pPr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>Nous intervenons de manière ponctuelle ou avec une continuité d’actions qui permettent d’</w:t>
      </w:r>
      <w:r w:rsidR="008C64C1" w:rsidRPr="00832810">
        <w:rPr>
          <w:rFonts w:asciiTheme="minorHAnsi" w:hAnsiTheme="minorHAnsi"/>
          <w:color w:val="44546A" w:themeColor="text2"/>
          <w:sz w:val="20"/>
          <w:szCs w:val="20"/>
        </w:rPr>
        <w:t>instiller au fil des mois des "prises de recul"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, des moments de ressourcement et de réflexion autour de la vie au travail.</w:t>
      </w:r>
    </w:p>
    <w:p w:rsidR="000F2BD1" w:rsidRPr="00B35CCD" w:rsidRDefault="000F2BD1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</w:p>
    <w:p w:rsidR="000E3DAD" w:rsidRPr="000C05E6" w:rsidRDefault="008C64C1" w:rsidP="008A7E7C">
      <w:pPr>
        <w:rPr>
          <w:rFonts w:asciiTheme="minorHAnsi" w:eastAsia="Calibri" w:hAnsiTheme="minorHAnsi" w:cs="Arial"/>
          <w:b/>
          <w:color w:val="B10F32"/>
          <w:sz w:val="16"/>
          <w:szCs w:val="16"/>
        </w:rPr>
      </w:pPr>
      <w:r w:rsidRPr="000C05E6">
        <w:rPr>
          <w:rFonts w:asciiTheme="minorHAnsi" w:eastAsia="Calibri" w:hAnsiTheme="minorHAnsi" w:cs="Arial"/>
          <w:b/>
          <w:color w:val="B10F32"/>
        </w:rPr>
        <w:t>N</w:t>
      </w:r>
      <w:r w:rsidR="00607413" w:rsidRPr="000C05E6">
        <w:rPr>
          <w:rFonts w:asciiTheme="minorHAnsi" w:eastAsia="Calibri" w:hAnsiTheme="minorHAnsi" w:cs="Arial"/>
          <w:b/>
          <w:color w:val="B10F32"/>
        </w:rPr>
        <w:t>ous utilisons ou concevons des outils qui répondent à nos modes d’intervention</w:t>
      </w:r>
      <w:r w:rsidRPr="000C05E6">
        <w:rPr>
          <w:rFonts w:asciiTheme="minorHAnsi" w:eastAsia="Calibri" w:hAnsiTheme="minorHAnsi" w:cs="Arial"/>
          <w:b/>
          <w:color w:val="B10F32"/>
        </w:rPr>
        <w:t>s</w:t>
      </w:r>
    </w:p>
    <w:p w:rsidR="008C64C1" w:rsidRPr="008A7E7C" w:rsidRDefault="008C64C1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</w:p>
    <w:p w:rsidR="000E3DAD" w:rsidRPr="008A7E7C" w:rsidRDefault="000E3DAD" w:rsidP="00DB47EE">
      <w:pPr>
        <w:rPr>
          <w:rFonts w:asciiTheme="minorHAnsi" w:hAnsiTheme="minorHAnsi"/>
          <w:color w:val="44546A" w:themeColor="text2"/>
          <w:sz w:val="16"/>
          <w:szCs w:val="16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Ingénierie et animation de </w:t>
      </w:r>
      <w:r w:rsidR="00B94468" w:rsidRPr="00031581">
        <w:rPr>
          <w:rFonts w:asciiTheme="minorHAnsi" w:hAnsiTheme="minorHAnsi"/>
          <w:b/>
          <w:color w:val="44546A" w:themeColor="text2"/>
          <w:sz w:val="22"/>
          <w:szCs w:val="22"/>
        </w:rPr>
        <w:t>f</w:t>
      </w: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>ormations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formation à la gestion des émotions, confiance en soi, comment être mieux au travail, </w:t>
      </w:r>
      <w:r w:rsidR="00B94468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formation managériale, </w:t>
      </w:r>
      <w:r w:rsidR="000A2EDA">
        <w:rPr>
          <w:rFonts w:asciiTheme="minorHAnsi" w:hAnsiTheme="minorHAnsi"/>
          <w:color w:val="44546A" w:themeColor="text2"/>
          <w:sz w:val="20"/>
          <w:szCs w:val="20"/>
        </w:rPr>
        <w:t>préparation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à la retraite…</w:t>
      </w:r>
    </w:p>
    <w:p w:rsidR="00B94468" w:rsidRPr="008A7E7C" w:rsidRDefault="00B94468" w:rsidP="00DB47EE">
      <w:pPr>
        <w:rPr>
          <w:rFonts w:asciiTheme="minorHAnsi" w:hAnsiTheme="minorHAnsi"/>
          <w:color w:val="44546A" w:themeColor="text2"/>
          <w:sz w:val="16"/>
          <w:szCs w:val="16"/>
        </w:rPr>
      </w:pPr>
    </w:p>
    <w:p w:rsidR="000E3DAD" w:rsidRPr="00031581" w:rsidRDefault="000E3DAD" w:rsidP="00DB47EE">
      <w:pPr>
        <w:rPr>
          <w:rFonts w:asciiTheme="minorHAnsi" w:hAnsiTheme="minorHAnsi"/>
          <w:b/>
          <w:color w:val="44546A" w:themeColor="text2"/>
          <w:sz w:val="22"/>
          <w:szCs w:val="22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Formation en inter ou en intra avec une ingénierie personnalisée en fonction des besoins </w:t>
      </w:r>
      <w:r w:rsidR="005543DB" w:rsidRPr="00031581">
        <w:rPr>
          <w:rFonts w:asciiTheme="minorHAnsi" w:hAnsiTheme="minorHAnsi"/>
          <w:b/>
          <w:color w:val="44546A" w:themeColor="text2"/>
          <w:sz w:val="22"/>
          <w:szCs w:val="22"/>
        </w:rPr>
        <w:t>exprimés</w:t>
      </w:r>
      <w:r w:rsidR="00031581"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 </w:t>
      </w:r>
      <w:r w:rsidR="00BA35B1" w:rsidRPr="00031581">
        <w:rPr>
          <w:rFonts w:asciiTheme="minorHAnsi" w:hAnsiTheme="minorHAnsi"/>
          <w:b/>
          <w:color w:val="44546A" w:themeColor="text2"/>
          <w:sz w:val="22"/>
          <w:szCs w:val="22"/>
        </w:rPr>
        <w:t>: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Soutien psychologique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> :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entretien individuel ou session collective pour mieux vivre des évènements difficiles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Echanges d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e pratiques : 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>échanger autour de son métier, de ses pratiques professionnelles pour donner du sens, s’enrichir grâce à l’effet miroir, la possibilité de donner et  recevoir.</w:t>
      </w:r>
    </w:p>
    <w:p w:rsidR="005543DB" w:rsidRPr="00050103" w:rsidRDefault="005543DB" w:rsidP="005241A0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B35CCD">
        <w:rPr>
          <w:rFonts w:asciiTheme="minorHAnsi" w:hAnsiTheme="minorHAnsi"/>
          <w:b/>
          <w:color w:val="44546A" w:themeColor="text2"/>
          <w:sz w:val="20"/>
          <w:szCs w:val="20"/>
        </w:rPr>
        <w:t>Groupes d’expression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favoriser la prise de parole, créer des moments d’expression pour rompre l’isolement, les rumeurs, les incompréhensions</w:t>
      </w:r>
    </w:p>
    <w:p w:rsidR="000E3DAD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Evènement, séminaire autour d’une question d’entreprise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  <w:r w:rsidR="00D87147">
        <w:rPr>
          <w:rFonts w:asciiTheme="minorHAnsi" w:hAnsiTheme="minorHAnsi"/>
          <w:color w:val="44546A" w:themeColor="text2"/>
          <w:sz w:val="20"/>
          <w:szCs w:val="20"/>
        </w:rPr>
        <w:t>OST/Forum O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>uvert</w:t>
      </w:r>
      <w:r w:rsidR="00D87147">
        <w:rPr>
          <w:rFonts w:asciiTheme="minorHAnsi" w:hAnsiTheme="minorHAnsi"/>
          <w:color w:val="44546A" w:themeColor="text2"/>
          <w:sz w:val="20"/>
          <w:szCs w:val="20"/>
        </w:rPr>
        <w:t xml:space="preserve">, </w:t>
      </w:r>
      <w:r w:rsidR="00B94468" w:rsidRPr="00D87147">
        <w:rPr>
          <w:rFonts w:asciiTheme="minorHAnsi" w:hAnsiTheme="minorHAnsi"/>
          <w:color w:val="44546A" w:themeColor="text2"/>
          <w:sz w:val="20"/>
          <w:szCs w:val="20"/>
        </w:rPr>
        <w:t>Coaching</w:t>
      </w:r>
      <w:r w:rsidR="00D87147">
        <w:rPr>
          <w:rFonts w:asciiTheme="minorHAnsi" w:hAnsiTheme="minorHAnsi"/>
          <w:color w:val="44546A" w:themeColor="text2"/>
          <w:sz w:val="20"/>
          <w:szCs w:val="20"/>
        </w:rPr>
        <w:t>.</w:t>
      </w:r>
    </w:p>
    <w:p w:rsidR="005241A0" w:rsidRPr="000C05E6" w:rsidRDefault="005241A0" w:rsidP="005241A0">
      <w:pPr>
        <w:jc w:val="both"/>
        <w:rPr>
          <w:rFonts w:asciiTheme="minorHAnsi" w:hAnsiTheme="minorHAnsi"/>
          <w:b/>
          <w:color w:val="B10F32"/>
          <w:sz w:val="16"/>
          <w:szCs w:val="16"/>
        </w:rPr>
      </w:pPr>
      <w:r w:rsidRPr="000C05E6">
        <w:rPr>
          <w:rFonts w:asciiTheme="minorHAnsi" w:hAnsiTheme="minorHAnsi"/>
          <w:b/>
          <w:color w:val="B10F32"/>
        </w:rPr>
        <w:lastRenderedPageBreak/>
        <w:t>Nos conférences</w:t>
      </w:r>
      <w:r w:rsidR="00050103" w:rsidRPr="000C05E6">
        <w:rPr>
          <w:rFonts w:asciiTheme="minorHAnsi" w:hAnsiTheme="minorHAnsi"/>
          <w:b/>
          <w:color w:val="B10F32"/>
        </w:rPr>
        <w:t xml:space="preserve"> :</w:t>
      </w:r>
    </w:p>
    <w:p w:rsidR="005241A0" w:rsidRPr="005C3DAB" w:rsidRDefault="005241A0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050103" w:rsidRDefault="005241A0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Toutes nos conférences sont animées par des professionnels experts en leur domaine. Elles portent sur des thèmes en lien avec le bien-être, le ressourcement, la réflexion personnelle autour de sa dynamique personnelle et ou professionnelle.</w:t>
      </w:r>
    </w:p>
    <w:p w:rsidR="005241A0" w:rsidRPr="001E140A" w:rsidRDefault="005241A0" w:rsidP="001E140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Nous favorisons des conférences interactives où les participants peuvent expérimenter quelques exercices, exprim</w:t>
      </w:r>
      <w:r w:rsidR="000C05E6">
        <w:rPr>
          <w:rFonts w:asciiTheme="minorHAnsi" w:hAnsiTheme="minorHAnsi"/>
          <w:color w:val="44546A" w:themeColor="text2"/>
          <w:sz w:val="20"/>
          <w:szCs w:val="20"/>
        </w:rPr>
        <w:t xml:space="preserve">er leurs ressentis et poser les 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>questions pour aller plus loin dans le prolongement du thème évoqué.</w:t>
      </w:r>
      <w:bookmarkStart w:id="0" w:name="_GoBack"/>
      <w:bookmarkEnd w:id="0"/>
    </w:p>
    <w:p w:rsidR="005241A0" w:rsidRPr="008A7E7C" w:rsidRDefault="005241A0" w:rsidP="004B585A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1E140A" w:rsidRDefault="001E140A" w:rsidP="004B585A">
      <w:pPr>
        <w:jc w:val="both"/>
        <w:rPr>
          <w:rFonts w:asciiTheme="minorHAnsi" w:hAnsiTheme="minorHAnsi"/>
          <w:b/>
          <w:color w:val="44546A" w:themeColor="text2"/>
        </w:rPr>
      </w:pPr>
      <w:r w:rsidRPr="001E140A">
        <w:rPr>
          <w:rFonts w:asciiTheme="minorHAnsi" w:hAnsiTheme="minorHAnsi"/>
          <w:b/>
          <w:color w:val="44546A" w:themeColor="text2"/>
        </w:rPr>
        <w:t>Les t</w:t>
      </w:r>
      <w:r w:rsidR="005241A0" w:rsidRPr="001E140A">
        <w:rPr>
          <w:rFonts w:asciiTheme="minorHAnsi" w:hAnsiTheme="minorHAnsi"/>
          <w:b/>
          <w:color w:val="44546A" w:themeColor="text2"/>
        </w:rPr>
        <w:t xml:space="preserve">hèmes </w:t>
      </w:r>
      <w:r w:rsidRPr="001E140A">
        <w:rPr>
          <w:rFonts w:asciiTheme="minorHAnsi" w:hAnsiTheme="minorHAnsi"/>
          <w:b/>
          <w:color w:val="44546A" w:themeColor="text2"/>
        </w:rPr>
        <w:t>proposés</w:t>
      </w:r>
      <w:r w:rsidR="00B35CCD">
        <w:rPr>
          <w:rFonts w:asciiTheme="minorHAnsi" w:hAnsiTheme="minorHAnsi"/>
          <w:b/>
          <w:color w:val="44546A" w:themeColor="text2"/>
        </w:rPr>
        <w:t xml:space="preserve"> </w:t>
      </w:r>
      <w:r w:rsidR="005241A0" w:rsidRPr="001E140A">
        <w:rPr>
          <w:rFonts w:asciiTheme="minorHAnsi" w:hAnsiTheme="minorHAnsi"/>
          <w:b/>
          <w:color w:val="44546A" w:themeColor="text2"/>
        </w:rPr>
        <w:t xml:space="preserve">: </w:t>
      </w:r>
    </w:p>
    <w:p w:rsidR="008A7E7C" w:rsidRDefault="008A7E7C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>
        <w:rPr>
          <w:rFonts w:asciiTheme="minorHAnsi" w:hAnsiTheme="minorHAnsi"/>
          <w:color w:val="44546A" w:themeColor="text2"/>
          <w:sz w:val="20"/>
          <w:szCs w:val="20"/>
        </w:rPr>
        <w:t xml:space="preserve">Nous intervenons de façon spécifique sur la qualité de vie personnelle et au travail, notamment sur 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le management et le </w:t>
      </w:r>
      <w:r w:rsidRPr="005C3DAB"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>stress "Comment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 motiver son équipe sans stress ?"</w:t>
      </w:r>
    </w:p>
    <w:p w:rsidR="00102B48" w:rsidRDefault="008A7E7C" w:rsidP="00B35CCD">
      <w:pPr>
        <w:jc w:val="both"/>
        <w:rPr>
          <w:rFonts w:asciiTheme="minorHAnsi" w:hAnsiTheme="minorHAnsi"/>
          <w:color w:val="44546A" w:themeColor="text2"/>
          <w:sz w:val="20"/>
          <w:szCs w:val="20"/>
        </w:rPr>
        <w:sectPr w:rsidR="00102B48" w:rsidSect="00B35CCD">
          <w:headerReference w:type="default" r:id="rId7"/>
          <w:footerReference w:type="default" r:id="rId8"/>
          <w:type w:val="continuous"/>
          <w:pgSz w:w="11906" w:h="16838"/>
          <w:pgMar w:top="2760" w:right="866" w:bottom="1417" w:left="1417" w:header="708" w:footer="423" w:gutter="0"/>
          <w:cols w:num="2" w:space="708"/>
          <w:docGrid w:linePitch="360"/>
        </w:sectPr>
      </w:pPr>
      <w:r w:rsidRPr="00B35CCD">
        <w:rPr>
          <w:rFonts w:asciiTheme="minorHAnsi" w:hAnsiTheme="minorHAnsi"/>
          <w:b/>
          <w:color w:val="44546A" w:themeColor="text2"/>
          <w:sz w:val="20"/>
          <w:szCs w:val="20"/>
        </w:rPr>
        <w:t>Et aussi :</w:t>
      </w:r>
      <w:r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Comment mieux gérer son stress,</w:t>
      </w:r>
      <w:r>
        <w:rPr>
          <w:rFonts w:asciiTheme="minorHAnsi" w:hAnsiTheme="minorHAnsi"/>
          <w:color w:val="44546A" w:themeColor="text2"/>
          <w:sz w:val="20"/>
          <w:szCs w:val="20"/>
        </w:rPr>
        <w:t xml:space="preserve"> le 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sommeil, le lâcher prise, l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a pensée positive, le </w:t>
      </w:r>
      <w:proofErr w:type="spellStart"/>
      <w:r w:rsidR="005C3DAB">
        <w:rPr>
          <w:rFonts w:asciiTheme="minorHAnsi" w:hAnsiTheme="minorHAnsi"/>
          <w:color w:val="44546A" w:themeColor="text2"/>
          <w:sz w:val="20"/>
          <w:szCs w:val="20"/>
        </w:rPr>
        <w:t>burn</w:t>
      </w:r>
      <w:proofErr w:type="spellEnd"/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  <w:r w:rsidR="009E0C19">
        <w:rPr>
          <w:rFonts w:asciiTheme="minorHAnsi" w:hAnsiTheme="minorHAnsi"/>
          <w:color w:val="44546A" w:themeColor="text2"/>
          <w:sz w:val="20"/>
          <w:szCs w:val="20"/>
        </w:rPr>
        <w:t>out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,</w:t>
      </w:r>
      <w:r w:rsidR="009E0C19"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la sophrologie, l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a communicat</w:t>
      </w:r>
      <w:r w:rsidR="000C05E6">
        <w:rPr>
          <w:rFonts w:asciiTheme="minorHAnsi" w:hAnsiTheme="minorHAnsi"/>
          <w:color w:val="44546A" w:themeColor="text2"/>
          <w:sz w:val="20"/>
          <w:szCs w:val="20"/>
        </w:rPr>
        <w:t>ion non violente</w:t>
      </w:r>
      <w:r w:rsidR="001E140A">
        <w:rPr>
          <w:rFonts w:asciiTheme="minorHAnsi" w:hAnsiTheme="minorHAnsi"/>
          <w:color w:val="44546A" w:themeColor="text2"/>
          <w:sz w:val="20"/>
          <w:szCs w:val="20"/>
        </w:rPr>
        <w:t>, d</w:t>
      </w:r>
      <w:r w:rsidR="001E140A" w:rsidRPr="00050103">
        <w:rPr>
          <w:rFonts w:asciiTheme="minorHAnsi" w:hAnsiTheme="minorHAnsi"/>
          <w:color w:val="44546A" w:themeColor="text2"/>
          <w:sz w:val="20"/>
          <w:szCs w:val="20"/>
        </w:rPr>
        <w:t>ynamique personnelle (reconstruction de soi, r</w:t>
      </w:r>
      <w:r w:rsidR="001E140A">
        <w:rPr>
          <w:rFonts w:asciiTheme="minorHAnsi" w:hAnsiTheme="minorHAnsi"/>
          <w:color w:val="44546A" w:themeColor="text2"/>
          <w:sz w:val="20"/>
          <w:szCs w:val="20"/>
        </w:rPr>
        <w:t>emettre du sens dans sa vie…).</w:t>
      </w:r>
    </w:p>
    <w:p w:rsidR="000C05E6" w:rsidRDefault="000C05E6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  <w:sectPr w:rsidR="000C05E6" w:rsidSect="000C05E6">
          <w:type w:val="continuous"/>
          <w:pgSz w:w="11906" w:h="16838"/>
          <w:pgMar w:top="1715" w:right="866" w:bottom="1417" w:left="1417" w:header="708" w:footer="423" w:gutter="0"/>
          <w:cols w:num="2" w:space="708"/>
          <w:docGrid w:linePitch="360"/>
        </w:sectPr>
      </w:pPr>
    </w:p>
    <w:p w:rsidR="00F01DAA" w:rsidRPr="00050103" w:rsidRDefault="000E3DAD" w:rsidP="00F01DAA">
      <w:pPr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B35CCD">
        <w:rPr>
          <w:rFonts w:asciiTheme="minorHAnsi" w:hAnsiTheme="minorHAnsi"/>
          <w:b/>
          <w:color w:val="B10F32"/>
        </w:rPr>
        <w:lastRenderedPageBreak/>
        <w:t>Les intervenant</w:t>
      </w:r>
      <w:r w:rsidR="009C0AFE" w:rsidRPr="00B35CCD">
        <w:rPr>
          <w:rFonts w:asciiTheme="minorHAnsi" w:hAnsiTheme="minorHAnsi"/>
          <w:b/>
          <w:color w:val="B10F32"/>
        </w:rPr>
        <w:t>e</w:t>
      </w:r>
      <w:r w:rsidRPr="00B35CCD">
        <w:rPr>
          <w:rFonts w:asciiTheme="minorHAnsi" w:hAnsiTheme="minorHAnsi"/>
          <w:b/>
          <w:color w:val="B10F32"/>
        </w:rPr>
        <w:t>s</w:t>
      </w:r>
      <w:r w:rsidR="00AB479B" w:rsidRPr="00B35CCD">
        <w:rPr>
          <w:rFonts w:asciiTheme="minorHAnsi" w:hAnsiTheme="minorHAnsi"/>
          <w:b/>
          <w:color w:val="B10F32"/>
        </w:rPr>
        <w:t xml:space="preserve"> :</w:t>
      </w:r>
      <w:r w:rsidR="00F01DAA">
        <w:rPr>
          <w:rFonts w:asciiTheme="minorHAnsi" w:hAnsiTheme="minorHAnsi"/>
          <w:b/>
          <w:color w:val="C00000"/>
          <w:sz w:val="22"/>
          <w:szCs w:val="22"/>
        </w:rPr>
        <w:t xml:space="preserve"> </w:t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hyperlink r:id="rId9" w:history="1">
        <w:r w:rsidR="00F01DAA" w:rsidRPr="00F01DAA">
          <w:rPr>
            <w:rStyle w:val="Lienhypertexte"/>
            <w:rFonts w:asciiTheme="minorHAnsi" w:hAnsiTheme="minorHAnsi"/>
            <w:b/>
            <w:sz w:val="20"/>
            <w:szCs w:val="20"/>
          </w:rPr>
          <w:t>www.sophrokhepri.fr</w:t>
        </w:r>
      </w:hyperlink>
      <w:r w:rsidR="00BB1533">
        <w:t xml:space="preserve"> </w:t>
      </w:r>
    </w:p>
    <w:p w:rsidR="00F01DAA" w:rsidRPr="00F01DAA" w:rsidRDefault="00F01DAA" w:rsidP="008C64C1">
      <w:pPr>
        <w:tabs>
          <w:tab w:val="left" w:pos="4200"/>
        </w:tabs>
        <w:rPr>
          <w:rFonts w:asciiTheme="minorHAnsi" w:hAnsiTheme="minorHAnsi"/>
          <w:b/>
          <w:color w:val="44546A" w:themeColor="text2"/>
          <w:sz w:val="16"/>
          <w:szCs w:val="16"/>
        </w:rPr>
      </w:pPr>
    </w:p>
    <w:p w:rsidR="00BA35B1" w:rsidRPr="00050103" w:rsidRDefault="002B1FED" w:rsidP="008C64C1">
      <w:pPr>
        <w:tabs>
          <w:tab w:val="left" w:pos="4200"/>
        </w:tabs>
        <w:rPr>
          <w:b/>
          <w:color w:val="44546A" w:themeColor="text2"/>
        </w:rPr>
      </w:pPr>
      <w:r>
        <w:rPr>
          <w:b/>
          <w:noProof/>
          <w:color w:val="44546A" w:themeColor="text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11430</wp:posOffset>
            </wp:positionV>
            <wp:extent cx="695325" cy="981075"/>
            <wp:effectExtent l="19050" t="0" r="9525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44546A" w:themeColor="text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11430</wp:posOffset>
            </wp:positionV>
            <wp:extent cx="779145" cy="990600"/>
            <wp:effectExtent l="19050" t="0" r="1905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199" w:rsidRPr="00050103" w:rsidRDefault="00C17199" w:rsidP="00C62D1F">
      <w:pPr>
        <w:tabs>
          <w:tab w:val="left" w:pos="4200"/>
        </w:tabs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tabs>
          <w:tab w:val="left" w:pos="960"/>
          <w:tab w:val="left" w:pos="1080"/>
          <w:tab w:val="left" w:pos="6240"/>
        </w:tabs>
        <w:ind w:left="1560" w:hanging="1560"/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</w:pP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 xml:space="preserve">Patricia PERIOVIZZA </w:t>
      </w: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Evelyne REVELLAT</w:t>
      </w:r>
    </w:p>
    <w:p w:rsidR="00BA35B1" w:rsidRPr="002B1FED" w:rsidRDefault="001E140A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  <w:r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</w:r>
      <w:r w:rsidR="00BA35B1"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>Psychologue du travail</w:t>
      </w:r>
      <w:r w:rsidR="00BA35B1"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Sophrologue-Relaxologue</w:t>
      </w:r>
    </w:p>
    <w:p w:rsidR="009C0AFE" w:rsidRPr="002B1FED" w:rsidRDefault="009C0AFE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  <w:sectPr w:rsidR="00BA35B1" w:rsidRPr="00050103" w:rsidSect="00102B48">
          <w:type w:val="continuous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</w:p>
    <w:p w:rsidR="009C0AFE" w:rsidRPr="00050103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lastRenderedPageBreak/>
        <w:t>Un passé en entreprises sur des fonctions de Responsable Recrutement et Formation, Consultante en Ressources Humaines,</w:t>
      </w:r>
    </w:p>
    <w:p w:rsidR="009C0AFE" w:rsidRPr="00050103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Cs/>
          <w:color w:val="44546A" w:themeColor="text2"/>
          <w:sz w:val="20"/>
          <w:szCs w:val="20"/>
        </w:rPr>
        <w:t>DESS Psychologie du travail Paris V 1984,</w:t>
      </w:r>
    </w:p>
    <w:p w:rsidR="009C0AFE" w:rsidRPr="00050103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expertise dans l'accompagnement des personnes en souffrance professionnelle et personnelle,</w:t>
      </w:r>
    </w:p>
    <w:p w:rsidR="009C0AFE" w:rsidRPr="00050103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C62D1F" w:rsidRDefault="00CC74A7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right="-103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hyperlink r:id="rId12" w:history="1"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www.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psycho-ressources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.com/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patricia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-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periovizza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.html</w:t>
        </w:r>
      </w:hyperlink>
    </w:p>
    <w:p w:rsidR="009C0AFE" w:rsidRDefault="009C0AFE" w:rsidP="003A5CA4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</w:p>
    <w:p w:rsidR="001E140A" w:rsidRPr="00050103" w:rsidRDefault="001E140A" w:rsidP="003A5CA4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</w:p>
    <w:p w:rsidR="00583F21" w:rsidRPr="000F2BD1" w:rsidRDefault="00C62D1F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lastRenderedPageBreak/>
        <w:t xml:space="preserve">Un parcours 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au sein de grands groupes 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en tant que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Responsable des Ressources humaines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et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coach interne,</w:t>
      </w:r>
    </w:p>
    <w:p w:rsidR="000F2BD1" w:rsidRPr="00583F21" w:rsidRDefault="000F2BD1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 xml:space="preserve">Stratégie de développement des PME, </w:t>
      </w:r>
      <w:r w:rsidR="00B35CCD"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 xml:space="preserve">optimisation des </w:t>
      </w:r>
      <w:r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>ressources</w:t>
      </w:r>
      <w:r w:rsidR="001E140A"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 xml:space="preserve"> humaines dans un contexte de</w:t>
      </w:r>
      <w:r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 xml:space="preserve"> cession-acquisition et levée de fonds,</w:t>
      </w:r>
    </w:p>
    <w:p w:rsidR="009C0AFE" w:rsidRPr="00600BDA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Sophrologue de l'ESSA (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diplôme RNCP)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600BDA" w:rsidRPr="00583F21" w:rsidRDefault="008931DC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Praticienne en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A</w:t>
      </w:r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nalyse </w:t>
      </w:r>
      <w:proofErr w:type="spellStart"/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N</w:t>
      </w:r>
      <w:r w:rsidR="00A23746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euro</w:t>
      </w:r>
      <w:r w:rsidR="008C2BB9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-</w:t>
      </w:r>
      <w:r w:rsidR="00A23746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</w:t>
      </w:r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ognitive</w:t>
      </w:r>
      <w:proofErr w:type="spellEnd"/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et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</w:t>
      </w:r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omportementale (</w:t>
      </w:r>
      <w:r w:rsidR="001B2B0F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A</w:t>
      </w:r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NC)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583F21" w:rsidRPr="00050103" w:rsidRDefault="00A23746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Forum Ouvert</w:t>
      </w:r>
      <w:r w:rsidR="001B2B0F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(OST : Open Space Technology) 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Communication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participative </w:t>
      </w:r>
      <w:r w:rsidR="00F01DA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&amp; 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coll</w:t>
      </w:r>
      <w:r w:rsidR="001E140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aborative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F01DAA" w:rsidRPr="00F01DAA" w:rsidRDefault="00583F21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Praticienne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méthodes de thérapie brève 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EFT (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Emotional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Freedom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Technique)</w:t>
      </w:r>
      <w:r w:rsidR="00A23746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Stress et Gestion des émotions,</w:t>
      </w:r>
    </w:p>
    <w:p w:rsidR="002B1FED" w:rsidRPr="009C2934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  <w:sectPr w:rsidR="002B1FED" w:rsidRPr="009C2934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Dialogue Intérieur 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selon Hal et </w:t>
      </w:r>
      <w:proofErr w:type="spellStart"/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Sidra</w:t>
      </w:r>
      <w:proofErr w:type="spellEnd"/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Ston</w:t>
      </w:r>
      <w:r w:rsidR="003A5CA4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</w:t>
      </w:r>
    </w:p>
    <w:p w:rsidR="00832810" w:rsidRDefault="00832810" w:rsidP="003A5CA4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B1533" w:rsidRDefault="00BB1533" w:rsidP="003A5CA4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B1533" w:rsidRDefault="00BB1533" w:rsidP="003A5CA4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B1533" w:rsidRDefault="00BB1533" w:rsidP="00BB1533">
      <w:pPr>
        <w:jc w:val="center"/>
        <w:rPr>
          <w:rFonts w:asciiTheme="minorHAnsi" w:hAnsiTheme="minorHAnsi"/>
          <w:b/>
          <w:color w:val="44546A" w:themeColor="text2"/>
        </w:rPr>
      </w:pPr>
      <w:r w:rsidRPr="00BB1533">
        <w:rPr>
          <w:rFonts w:asciiTheme="minorHAnsi" w:hAnsiTheme="minorHAnsi"/>
          <w:b/>
          <w:color w:val="44546A" w:themeColor="text2"/>
        </w:rPr>
        <w:t xml:space="preserve">Vous voulez en savoir plus et prendre contact : </w:t>
      </w:r>
    </w:p>
    <w:p w:rsidR="00BB1533" w:rsidRPr="00BB1533" w:rsidRDefault="00BB1533" w:rsidP="00BB1533">
      <w:pPr>
        <w:jc w:val="center"/>
        <w:rPr>
          <w:rFonts w:asciiTheme="minorHAnsi" w:hAnsiTheme="minorHAnsi"/>
          <w:b/>
          <w:color w:val="44546A" w:themeColor="text2"/>
        </w:rPr>
      </w:pPr>
      <w:r w:rsidRPr="00BB1533">
        <w:rPr>
          <w:rFonts w:asciiTheme="minorHAnsi" w:hAnsiTheme="minorHAnsi"/>
          <w:b/>
          <w:color w:val="44546A" w:themeColor="text2"/>
        </w:rPr>
        <w:t>06 60 47 71 64 ou contact@sophrokhepri.fr</w:t>
      </w:r>
    </w:p>
    <w:sectPr w:rsidR="00BB1533" w:rsidRPr="00BB1533" w:rsidSect="00773593">
      <w:type w:val="continuous"/>
      <w:pgSz w:w="11906" w:h="16838"/>
      <w:pgMar w:top="720" w:right="866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72" w:rsidRDefault="002F0F72" w:rsidP="005405EA">
      <w:r>
        <w:separator/>
      </w:r>
    </w:p>
  </w:endnote>
  <w:endnote w:type="continuationSeparator" w:id="0">
    <w:p w:rsidR="002F0F72" w:rsidRDefault="002F0F72" w:rsidP="0054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773593" w:rsidRPr="00F01DAA" w:rsidRDefault="00773593" w:rsidP="00F01DAA">
    <w:pPr>
      <w:pStyle w:val="NormalWeb"/>
      <w:numPr>
        <w:ilvl w:val="0"/>
        <w:numId w:val="5"/>
      </w:numPr>
      <w:shd w:val="clear" w:color="auto" w:fill="FFFFFF"/>
      <w:tabs>
        <w:tab w:val="clear" w:pos="720"/>
        <w:tab w:val="num" w:pos="-120"/>
      </w:tabs>
      <w:spacing w:before="0" w:beforeAutospacing="0" w:after="0" w:afterAutospacing="0"/>
      <w:ind w:left="120" w:hanging="240"/>
      <w:rPr>
        <w:rFonts w:asciiTheme="minorHAnsi" w:hAnsiTheme="minorHAnsi" w:cs="Arial"/>
        <w:color w:val="44546A" w:themeColor="text2"/>
        <w:sz w:val="20"/>
        <w:szCs w:val="20"/>
      </w:rPr>
    </w:pP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travail de groupe, une approche personnalisée !</w:t>
    </w:r>
    <w:r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espace indépendant et confidentiel</w:t>
    </w:r>
    <w:r w:rsid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-</w:t>
    </w:r>
    <w:r w:rsidR="00F01DAA" w:rsidRP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hyperlink r:id="rId1" w:history="1">
      <w:r w:rsidR="00F01DAA" w:rsidRPr="00F01DAA">
        <w:rPr>
          <w:rStyle w:val="Lienhypertexte"/>
          <w:rFonts w:asciiTheme="minorHAnsi" w:hAnsiTheme="minorHAnsi"/>
          <w:b/>
          <w:sz w:val="20"/>
          <w:szCs w:val="20"/>
        </w:rPr>
        <w:t>www.sophrokhepri.fr</w:t>
      </w:r>
    </w:hyperlink>
  </w:p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17199" w:rsidRDefault="00C17199" w:rsidP="00C17199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BA35B1" w:rsidRPr="00C17199" w:rsidRDefault="00C17199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72" w:rsidRDefault="002F0F72" w:rsidP="005405EA">
      <w:r>
        <w:separator/>
      </w:r>
    </w:p>
  </w:footnote>
  <w:footnote w:type="continuationSeparator" w:id="0">
    <w:p w:rsidR="002F0F72" w:rsidRDefault="002F0F72" w:rsidP="0054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99" w:rsidRPr="00756D8E" w:rsidRDefault="00425250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-173355</wp:posOffset>
          </wp:positionV>
          <wp:extent cx="1838325" cy="590550"/>
          <wp:effectExtent l="0" t="0" r="9525" b="0"/>
          <wp:wrapSquare wrapText="bothSides"/>
          <wp:docPr id="2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7199"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BA35B1" w:rsidRPr="00425250" w:rsidRDefault="00C17199" w:rsidP="00425250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</w:t>
    </w:r>
    <w:r w:rsidR="00425250">
      <w:rPr>
        <w:rFonts w:ascii="Calibri" w:hAnsi="Calibri" w:cs="Calibri"/>
        <w:b/>
        <w:i/>
        <w:noProof/>
        <w:color w:val="7F7F7F"/>
      </w:rPr>
      <w:t>pagnement Individuel &amp; Collectif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60B90"/>
    <w:multiLevelType w:val="multilevel"/>
    <w:tmpl w:val="A49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136950"/>
    <w:rsid w:val="00031581"/>
    <w:rsid w:val="00050103"/>
    <w:rsid w:val="00050E2F"/>
    <w:rsid w:val="00084B7B"/>
    <w:rsid w:val="000934C2"/>
    <w:rsid w:val="000A2EDA"/>
    <w:rsid w:val="000C05E6"/>
    <w:rsid w:val="000E3DAD"/>
    <w:rsid w:val="000F2BD1"/>
    <w:rsid w:val="00101F6E"/>
    <w:rsid w:val="00102B48"/>
    <w:rsid w:val="001234BE"/>
    <w:rsid w:val="00136950"/>
    <w:rsid w:val="00172962"/>
    <w:rsid w:val="00177FB5"/>
    <w:rsid w:val="001A5844"/>
    <w:rsid w:val="001B2B0F"/>
    <w:rsid w:val="001C3AA3"/>
    <w:rsid w:val="001E140A"/>
    <w:rsid w:val="0022776E"/>
    <w:rsid w:val="00245AEE"/>
    <w:rsid w:val="00257348"/>
    <w:rsid w:val="00272A4A"/>
    <w:rsid w:val="002A52D0"/>
    <w:rsid w:val="002B1FED"/>
    <w:rsid w:val="002F0F72"/>
    <w:rsid w:val="0033157E"/>
    <w:rsid w:val="00361284"/>
    <w:rsid w:val="003932A3"/>
    <w:rsid w:val="003A5CA4"/>
    <w:rsid w:val="003F335A"/>
    <w:rsid w:val="004040C7"/>
    <w:rsid w:val="0041603C"/>
    <w:rsid w:val="00424A78"/>
    <w:rsid w:val="00425250"/>
    <w:rsid w:val="00464D0C"/>
    <w:rsid w:val="00477236"/>
    <w:rsid w:val="004873B5"/>
    <w:rsid w:val="004B55E8"/>
    <w:rsid w:val="004B585A"/>
    <w:rsid w:val="004D536B"/>
    <w:rsid w:val="004F23BA"/>
    <w:rsid w:val="005241A0"/>
    <w:rsid w:val="005405EA"/>
    <w:rsid w:val="00544E27"/>
    <w:rsid w:val="005543DB"/>
    <w:rsid w:val="00562381"/>
    <w:rsid w:val="005834A2"/>
    <w:rsid w:val="00583F21"/>
    <w:rsid w:val="005A7F6D"/>
    <w:rsid w:val="005C3DAB"/>
    <w:rsid w:val="00600BDA"/>
    <w:rsid w:val="00607413"/>
    <w:rsid w:val="006159E5"/>
    <w:rsid w:val="0070109C"/>
    <w:rsid w:val="00714C18"/>
    <w:rsid w:val="00747E65"/>
    <w:rsid w:val="00773593"/>
    <w:rsid w:val="00790041"/>
    <w:rsid w:val="007B6106"/>
    <w:rsid w:val="00832810"/>
    <w:rsid w:val="0083796F"/>
    <w:rsid w:val="008931DC"/>
    <w:rsid w:val="008A7E7C"/>
    <w:rsid w:val="008C2BB9"/>
    <w:rsid w:val="008C64C1"/>
    <w:rsid w:val="008D035F"/>
    <w:rsid w:val="00922B0C"/>
    <w:rsid w:val="00933188"/>
    <w:rsid w:val="009B6803"/>
    <w:rsid w:val="009C0AFE"/>
    <w:rsid w:val="009C2934"/>
    <w:rsid w:val="009E0C19"/>
    <w:rsid w:val="00A16E7C"/>
    <w:rsid w:val="00A23746"/>
    <w:rsid w:val="00A715B7"/>
    <w:rsid w:val="00A90C97"/>
    <w:rsid w:val="00AB479B"/>
    <w:rsid w:val="00B21149"/>
    <w:rsid w:val="00B23D79"/>
    <w:rsid w:val="00B35CCD"/>
    <w:rsid w:val="00B47762"/>
    <w:rsid w:val="00B624B3"/>
    <w:rsid w:val="00B94468"/>
    <w:rsid w:val="00BA35B1"/>
    <w:rsid w:val="00BB1533"/>
    <w:rsid w:val="00BB40EB"/>
    <w:rsid w:val="00BC7993"/>
    <w:rsid w:val="00BE24B9"/>
    <w:rsid w:val="00C17199"/>
    <w:rsid w:val="00C30364"/>
    <w:rsid w:val="00C62D1F"/>
    <w:rsid w:val="00C72CFE"/>
    <w:rsid w:val="00C7717C"/>
    <w:rsid w:val="00CC74A7"/>
    <w:rsid w:val="00CE6AC8"/>
    <w:rsid w:val="00D0331C"/>
    <w:rsid w:val="00D53C06"/>
    <w:rsid w:val="00D61BCA"/>
    <w:rsid w:val="00D62C7A"/>
    <w:rsid w:val="00D65BC7"/>
    <w:rsid w:val="00D77A74"/>
    <w:rsid w:val="00D77ED3"/>
    <w:rsid w:val="00D80206"/>
    <w:rsid w:val="00D8593E"/>
    <w:rsid w:val="00D87147"/>
    <w:rsid w:val="00D93B03"/>
    <w:rsid w:val="00DB3DDE"/>
    <w:rsid w:val="00DB47EE"/>
    <w:rsid w:val="00DC1008"/>
    <w:rsid w:val="00DF7F63"/>
    <w:rsid w:val="00E045BC"/>
    <w:rsid w:val="00E07D7B"/>
    <w:rsid w:val="00E114DC"/>
    <w:rsid w:val="00E3012F"/>
    <w:rsid w:val="00EB11EB"/>
    <w:rsid w:val="00EE2A4C"/>
    <w:rsid w:val="00EF17A3"/>
    <w:rsid w:val="00F01DAA"/>
    <w:rsid w:val="00F70A77"/>
    <w:rsid w:val="00F71706"/>
    <w:rsid w:val="00F87496"/>
    <w:rsid w:val="00F9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C3DA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62D1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2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25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sycho-ressources.com/patricia-periovizz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ophrokhepri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939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2014-04-14T20:13:00Z</cp:lastPrinted>
  <dcterms:created xsi:type="dcterms:W3CDTF">2014-06-09T18:08:00Z</dcterms:created>
  <dcterms:modified xsi:type="dcterms:W3CDTF">2014-06-09T18:08:00Z</dcterms:modified>
</cp:coreProperties>
</file>