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48" w:rsidRPr="00324C48" w:rsidRDefault="00324C48" w:rsidP="00324C48">
      <w:pPr>
        <w:jc w:val="center"/>
        <w:rPr>
          <w:b/>
        </w:rPr>
      </w:pPr>
      <w:r w:rsidRPr="00324C48">
        <w:rPr>
          <w:b/>
        </w:rPr>
        <w:t>Note de synthèse SCPI de rendement PERIAL – PFO2</w:t>
      </w:r>
    </w:p>
    <w:p w:rsidR="00324C48" w:rsidRDefault="00324C48"/>
    <w:p w:rsidR="00324C48" w:rsidRDefault="00324C48">
      <w:r>
        <w:t xml:space="preserve">Créée le 21 juillet 2009, PFO 2 est une SCPI à capital variable de type "classique diversifiée" dont la gestion est assurée par PERIAL Asset Management, partenaire des professionnels du patrimoine depuis de nombreuses années. </w:t>
      </w:r>
      <w:r>
        <w:br/>
      </w:r>
      <w:r>
        <w:br/>
      </w:r>
      <w:r w:rsidRPr="00324C48">
        <w:rPr>
          <w:rStyle w:val="texteor"/>
          <w:b/>
        </w:rPr>
        <w:t>Nature</w:t>
      </w:r>
      <w:r>
        <w:t xml:space="preserve"> </w:t>
      </w:r>
      <w:r>
        <w:br/>
        <w:t xml:space="preserve">SCPI de rendement </w:t>
      </w:r>
      <w:r>
        <w:br/>
      </w:r>
      <w:r w:rsidRPr="00324C48">
        <w:rPr>
          <w:sz w:val="16"/>
          <w:szCs w:val="16"/>
        </w:rPr>
        <w:br/>
      </w:r>
      <w:r w:rsidRPr="00324C48">
        <w:rPr>
          <w:rStyle w:val="texteor"/>
          <w:b/>
        </w:rPr>
        <w:t>Surface totale au 31/12/2009 :</w:t>
      </w:r>
      <w:r>
        <w:rPr>
          <w:rStyle w:val="texteor"/>
        </w:rPr>
        <w:t xml:space="preserve"> 2 663 m2</w:t>
      </w:r>
      <w:r>
        <w:t xml:space="preserve"> </w:t>
      </w:r>
      <w:r>
        <w:br/>
      </w:r>
      <w:r>
        <w:br/>
      </w:r>
      <w:r w:rsidRPr="00324C48">
        <w:rPr>
          <w:rStyle w:val="texteor"/>
          <w:b/>
        </w:rPr>
        <w:t>Localisation géographique :</w:t>
      </w:r>
      <w:r w:rsidRPr="00324C48">
        <w:rPr>
          <w:b/>
        </w:rPr>
        <w:t xml:space="preserve"> </w:t>
      </w:r>
      <w:r>
        <w:br/>
        <w:t xml:space="preserve">PFO 2 investit dans les grands pôles économiques français. Ainsi, Paris et l'Ile-de-France pourront représenter la moitié des investissements tandis que les principales métropoles régionales auront également une place de choix, portées par leur dynamisme économique, leur poids grandissant dans le paysage politique et administratif français et l'amélioration constante des réseaux de transport européen. </w:t>
      </w:r>
      <w:r>
        <w:br/>
      </w:r>
      <w:r>
        <w:br/>
      </w:r>
      <w:r w:rsidRPr="00324C48">
        <w:rPr>
          <w:rStyle w:val="texteor"/>
          <w:b/>
        </w:rPr>
        <w:t>Stratégie immobilière :</w:t>
      </w:r>
      <w:r w:rsidRPr="00324C48">
        <w:rPr>
          <w:b/>
        </w:rPr>
        <w:t xml:space="preserve"> </w:t>
      </w:r>
      <w:r>
        <w:br/>
      </w:r>
      <w:r>
        <w:rPr>
          <w:b/>
          <w:bCs/>
        </w:rPr>
        <w:t>Pour les immeubles de 2ème main :</w:t>
      </w:r>
      <w:r>
        <w:t xml:space="preserve"> </w:t>
      </w:r>
      <w:r>
        <w:br/>
        <w:t xml:space="preserve">- Diminution des consommations énergétiques des bâtiments sur double critère : - 40% par rapport à la consommation actuelle ou entre 100 à 200KWh/an/m² pour le tertiaire. </w:t>
      </w:r>
      <w:r>
        <w:br/>
        <w:t xml:space="preserve">- Diminution de la consommation d'eau comprise entre 20 à 30% par rapport à la consommation initiale. </w:t>
      </w:r>
      <w:r>
        <w:br/>
        <w:t xml:space="preserve">- Charte de bonnes pratiques environnementales et contrôle. </w:t>
      </w:r>
      <w:r>
        <w:br/>
      </w:r>
      <w:r>
        <w:br/>
      </w:r>
      <w:r>
        <w:rPr>
          <w:b/>
          <w:bCs/>
        </w:rPr>
        <w:t>Pour les immeubles neufs :</w:t>
      </w:r>
      <w:r>
        <w:t xml:space="preserve"> </w:t>
      </w:r>
      <w:r>
        <w:br/>
        <w:t xml:space="preserve">Achat de locaux respectant les réglementations thermiques en vigueur et en adéquation avec les objectifs de PFO 2 en terme d'empreinte écologique et énergétique (105 </w:t>
      </w:r>
      <w:proofErr w:type="spellStart"/>
      <w:r>
        <w:t>kw</w:t>
      </w:r>
      <w:proofErr w:type="spellEnd"/>
      <w:r>
        <w:t xml:space="preserve"> </w:t>
      </w:r>
      <w:proofErr w:type="spellStart"/>
      <w:r>
        <w:t>ep</w:t>
      </w:r>
      <w:proofErr w:type="spellEnd"/>
      <w:r>
        <w:t xml:space="preserve">/m2/an si l'immeuble est conforme à la RT 2005 et 50 </w:t>
      </w:r>
      <w:proofErr w:type="spellStart"/>
      <w:r>
        <w:t>kw</w:t>
      </w:r>
      <w:proofErr w:type="spellEnd"/>
      <w:r>
        <w:t xml:space="preserve"> </w:t>
      </w:r>
      <w:proofErr w:type="spellStart"/>
      <w:r>
        <w:t>ep</w:t>
      </w:r>
      <w:proofErr w:type="spellEnd"/>
      <w:r>
        <w:t xml:space="preserve">/m2/an pour les immeubles conformes à la RT 2010). </w:t>
      </w:r>
      <w:r>
        <w:br/>
      </w:r>
      <w:r>
        <w:br/>
      </w:r>
      <w:r w:rsidRPr="00324C48">
        <w:rPr>
          <w:rStyle w:val="texteor"/>
          <w:b/>
        </w:rPr>
        <w:t>Prix de souscription au 01/01/2010 :</w:t>
      </w:r>
      <w:r>
        <w:rPr>
          <w:rStyle w:val="texteor"/>
        </w:rPr>
        <w:t xml:space="preserve"> 178,00 €</w:t>
      </w:r>
      <w:r>
        <w:t xml:space="preserve"> </w:t>
      </w:r>
      <w:r>
        <w:br/>
      </w:r>
      <w:r w:rsidRPr="00324C48">
        <w:rPr>
          <w:rStyle w:val="texteor"/>
          <w:b/>
        </w:rPr>
        <w:t>Rentabilité 2009 :</w:t>
      </w:r>
      <w:r>
        <w:rPr>
          <w:rStyle w:val="texteor"/>
        </w:rPr>
        <w:t xml:space="preserve"> 5,53%</w:t>
      </w:r>
      <w:r>
        <w:t xml:space="preserve"> </w:t>
      </w:r>
      <w:r>
        <w:br/>
      </w:r>
      <w:r w:rsidRPr="00324C48">
        <w:rPr>
          <w:rStyle w:val="texteor"/>
          <w:b/>
        </w:rPr>
        <w:t xml:space="preserve">Rentabilité prévisionnelle 2010 : </w:t>
      </w:r>
      <w:r>
        <w:rPr>
          <w:rStyle w:val="texteor"/>
        </w:rPr>
        <w:t>entre 5,00% et 6,00%</w:t>
      </w:r>
      <w:r>
        <w:t xml:space="preserve"> </w:t>
      </w:r>
      <w:r>
        <w:br/>
      </w:r>
      <w:r w:rsidRPr="00324C48">
        <w:rPr>
          <w:rStyle w:val="texteor"/>
          <w:b/>
        </w:rPr>
        <w:t>Minimum de souscription :</w:t>
      </w:r>
      <w:r>
        <w:rPr>
          <w:rStyle w:val="texteor"/>
        </w:rPr>
        <w:t xml:space="preserve"> 30 parts</w:t>
      </w:r>
      <w:r>
        <w:t xml:space="preserve"> </w:t>
      </w:r>
      <w:r>
        <w:br/>
      </w:r>
      <w:r w:rsidRPr="00324C48">
        <w:rPr>
          <w:rStyle w:val="texteor"/>
          <w:b/>
        </w:rPr>
        <w:t>Jouissance de parts :</w:t>
      </w:r>
      <w:r w:rsidRPr="00324C48">
        <w:rPr>
          <w:b/>
        </w:rPr>
        <w:t xml:space="preserve"> </w:t>
      </w:r>
      <w:r>
        <w:br/>
        <w:t>Le 1er jour du 4ème mois suivant la date d'enregistrement de la souscription avec le paiement de la souscription.</w:t>
      </w:r>
    </w:p>
    <w:sectPr w:rsidR="00324C48"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24C48"/>
    <w:rsid w:val="00324C48"/>
    <w:rsid w:val="005E1F60"/>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or">
    <w:name w:val="texteor"/>
    <w:basedOn w:val="Policepardfaut"/>
    <w:rsid w:val="00324C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1518</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2010-11-17T18:31:00Z</dcterms:created>
  <dcterms:modified xsi:type="dcterms:W3CDTF">2010-11-17T18:34:00Z</dcterms:modified>
</cp:coreProperties>
</file>