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32" w:rsidRPr="006E1F32" w:rsidRDefault="006E1F32" w:rsidP="006E1F3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proofErr w:type="spellStart"/>
      <w:r w:rsidRPr="006E1F32">
        <w:rPr>
          <w:rFonts w:ascii="Arial" w:eastAsia="Times New Roman" w:hAnsi="Arial" w:cs="Arial"/>
          <w:b/>
          <w:sz w:val="20"/>
          <w:szCs w:val="20"/>
          <w:lang w:eastAsia="fr-FR"/>
        </w:rPr>
        <w:t>Multimmobilier</w:t>
      </w:r>
      <w:proofErr w:type="spellEnd"/>
      <w:r w:rsidRPr="006E1F32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2 -- UFG </w:t>
      </w:r>
    </w:p>
    <w:p w:rsidR="006E1F32" w:rsidRPr="006E1F32" w:rsidRDefault="006E1F32" w:rsidP="006E1F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6E1F32">
        <w:rPr>
          <w:rFonts w:ascii="Arial" w:eastAsia="Times New Roman" w:hAnsi="Arial" w:cs="Arial"/>
          <w:sz w:val="20"/>
          <w:szCs w:val="20"/>
          <w:lang w:eastAsia="fr-FR"/>
        </w:rPr>
        <w:pict>
          <v:rect id="_x0000_i1025" style="width:0;height:1.5pt" o:hralign="center" o:hrstd="t" o:hr="t" fillcolor="#a0a0a0" stroked="f"/>
        </w:pict>
      </w:r>
    </w:p>
    <w:p w:rsidR="006E1F32" w:rsidRPr="006E1F32" w:rsidRDefault="006E1F32" w:rsidP="006E1F3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fr-FR"/>
        </w:rPr>
      </w:pPr>
      <w:r w:rsidRPr="006E1F32">
        <w:rPr>
          <w:rFonts w:ascii="Arial" w:eastAsia="Times New Roman" w:hAnsi="Arial" w:cs="Arial"/>
          <w:vanish/>
          <w:sz w:val="20"/>
          <w:szCs w:val="20"/>
          <w:lang w:eastAsia="fr-FR"/>
        </w:rPr>
        <w:t>Haut du formulaire</w:t>
      </w:r>
    </w:p>
    <w:p w:rsidR="006E1F32" w:rsidRPr="006E1F32" w:rsidRDefault="006E1F32" w:rsidP="006E1F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6E1F32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905000" cy="1590675"/>
            <wp:effectExtent l="19050" t="0" r="0" b="0"/>
            <wp:docPr id="2" name="Image 2" descr="http://www.arkanissim.fr/espaceconseiller/downloadfile/4735-multim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kanissim.fr/espaceconseiller/downloadfile/4735-multimm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6E1F32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2095500" cy="1257300"/>
            <wp:effectExtent l="19050" t="0" r="0" b="0"/>
            <wp:docPr id="3" name="Image 3" descr="http://www.arkanissim.fr/espaceconseiller/downloadfile/5510-patrimoine-1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kanissim.fr/espaceconseiller/downloadfile/5510-patrimoine-12-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6E1F32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2095500" cy="1190625"/>
            <wp:effectExtent l="19050" t="0" r="0" b="0"/>
            <wp:docPr id="4" name="Image 4" descr="http://www.arkanissim.fr/espaceconseiller/downloadfile/5511-repartition-geographique-1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kanissim.fr/espaceconseiller/downloadfile/5511-repartition-geographique-12-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F32" w:rsidRPr="006E1F32" w:rsidRDefault="006E1F32" w:rsidP="006E1F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6E1F32">
        <w:rPr>
          <w:rFonts w:ascii="Arial" w:eastAsia="Times New Roman" w:hAnsi="Arial" w:cs="Arial"/>
          <w:sz w:val="20"/>
          <w:szCs w:val="20"/>
          <w:lang w:eastAsia="fr-FR"/>
        </w:rPr>
        <w:pict>
          <v:rect id="_x0000_i1029" style="width:0;height:1.5pt" o:hralign="center" o:hrstd="t" o:hr="t" fillcolor="#a0a0a0" stroked="f"/>
        </w:pict>
      </w:r>
    </w:p>
    <w:p w:rsidR="006E1F32" w:rsidRPr="006E1F32" w:rsidRDefault="006E1F32" w:rsidP="006E1F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6E1F32">
        <w:rPr>
          <w:rFonts w:ascii="Arial" w:eastAsia="Times New Roman" w:hAnsi="Arial" w:cs="Arial"/>
          <w:sz w:val="20"/>
          <w:szCs w:val="20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23.5pt;height:18pt" o:ole="">
            <v:imagedata r:id="rId7" o:title=""/>
          </v:shape>
          <w:control r:id="rId8" w:name="DefaultOcxName" w:shapeid="_x0000_i1037"/>
        </w:object>
      </w:r>
    </w:p>
    <w:p w:rsidR="006E1F32" w:rsidRPr="006E1F32" w:rsidRDefault="006E1F32" w:rsidP="006E1F3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fr-FR"/>
        </w:rPr>
      </w:pPr>
      <w:r w:rsidRPr="006E1F32">
        <w:rPr>
          <w:rFonts w:ascii="Arial" w:eastAsia="Times New Roman" w:hAnsi="Arial" w:cs="Arial"/>
          <w:vanish/>
          <w:sz w:val="20"/>
          <w:szCs w:val="20"/>
          <w:lang w:eastAsia="fr-FR"/>
        </w:rPr>
        <w:t>Bas du formulaire</w:t>
      </w:r>
    </w:p>
    <w:p w:rsidR="00C32BBC" w:rsidRPr="006E1F32" w:rsidRDefault="006E1F32" w:rsidP="006E1F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6E1F32">
        <w:rPr>
          <w:rFonts w:ascii="Arial" w:eastAsia="Times New Roman" w:hAnsi="Arial" w:cs="Arial"/>
          <w:sz w:val="20"/>
          <w:szCs w:val="20"/>
          <w:lang w:eastAsia="fr-FR"/>
        </w:rPr>
        <w:t xml:space="preserve">Le patrimoine immobilier diversifié de cette SCPI est demeuré totalement occupé depuis plusieurs années. Cette parfaite adéquation des locaux à la demande des utilisateurs assure aux investisseurs un niveau élevé de rentabilité et une totale fluidité du marché des parts. </w:t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Nature </w:t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SCPI de rendement </w:t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Surface totale au 31/12/2009 : 36 423 m2 </w:t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45 immeubles </w:t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Locataires significatifs : </w:t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Schneider, Colas, GIC, SFR, UCB Pharma, DHL International... </w:t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Prix de souscription au 01/01/2010 : 753 € </w:t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Rentabilité 2009 : 5,51% </w:t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Rentabilité prévisionnelle 2010 : 5,30% </w:t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Minimum de souscription : 1 part </w:t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lastRenderedPageBreak/>
        <w:t xml:space="preserve">Jouissance de parts :- Souscription : les parts souscrites au cours d'un mois donné portent jouissance, après un délai de deux mois, le 1er jour du mois suivant. </w:t>
      </w:r>
      <w:r w:rsidRPr="006E1F32">
        <w:rPr>
          <w:rFonts w:ascii="Arial" w:eastAsia="Times New Roman" w:hAnsi="Arial" w:cs="Arial"/>
          <w:sz w:val="20"/>
          <w:szCs w:val="20"/>
          <w:lang w:eastAsia="fr-FR"/>
        </w:rPr>
        <w:br/>
        <w:t>- Retrait : la date de fin de jouissance des parts annulées est fixée à la fin du mois au cours duquel est effectuée l'opération de retrait.</w:t>
      </w:r>
    </w:p>
    <w:sectPr w:rsidR="00C32BBC" w:rsidRPr="006E1F32" w:rsidSect="006E1F3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F32"/>
    <w:rsid w:val="005D202E"/>
    <w:rsid w:val="006E1F32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E1F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E1F3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E1F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E1F32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texteor">
    <w:name w:val="texteor"/>
    <w:basedOn w:val="Policepardfaut"/>
    <w:rsid w:val="006E1F32"/>
  </w:style>
  <w:style w:type="paragraph" w:styleId="Textedebulles">
    <w:name w:val="Balloon Text"/>
    <w:basedOn w:val="Normal"/>
    <w:link w:val="TextedebullesCar"/>
    <w:uiPriority w:val="99"/>
    <w:semiHidden/>
    <w:unhideWhenUsed/>
    <w:rsid w:val="006E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2010-12-01T17:35:00Z</dcterms:created>
  <dcterms:modified xsi:type="dcterms:W3CDTF">2010-12-01T17:36:00Z</dcterms:modified>
</cp:coreProperties>
</file>