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5C" w:rsidRPr="0068495C" w:rsidRDefault="0068495C" w:rsidP="0068495C">
      <w:pPr>
        <w:spacing w:after="0" w:line="240" w:lineRule="auto"/>
        <w:rPr>
          <w:rFonts w:ascii="Arial" w:eastAsia="Times New Roman" w:hAnsi="Arial" w:cs="Arial"/>
          <w:b/>
          <w:sz w:val="20"/>
          <w:szCs w:val="20"/>
          <w:lang w:eastAsia="fr-FR"/>
        </w:rPr>
      </w:pPr>
      <w:r w:rsidRPr="0068495C">
        <w:rPr>
          <w:rFonts w:ascii="Arial" w:eastAsia="Times New Roman" w:hAnsi="Arial" w:cs="Arial"/>
          <w:b/>
          <w:sz w:val="20"/>
          <w:szCs w:val="20"/>
          <w:lang w:eastAsia="fr-FR"/>
        </w:rPr>
        <w:t xml:space="preserve">Crédit Mutuel Pierre 1 -- UFG </w:t>
      </w:r>
    </w:p>
    <w:p w:rsidR="0068495C" w:rsidRPr="0068495C" w:rsidRDefault="0068495C" w:rsidP="0068495C">
      <w:pPr>
        <w:spacing w:after="0" w:line="240" w:lineRule="auto"/>
        <w:rPr>
          <w:rFonts w:ascii="Arial" w:eastAsia="Times New Roman" w:hAnsi="Arial" w:cs="Arial"/>
          <w:sz w:val="20"/>
          <w:szCs w:val="20"/>
          <w:lang w:eastAsia="fr-FR"/>
        </w:rPr>
      </w:pPr>
      <w:r w:rsidRPr="0068495C">
        <w:rPr>
          <w:rFonts w:ascii="Arial" w:eastAsia="Times New Roman" w:hAnsi="Arial" w:cs="Arial"/>
          <w:sz w:val="20"/>
          <w:szCs w:val="20"/>
          <w:lang w:eastAsia="fr-FR"/>
        </w:rPr>
        <w:pict>
          <v:rect id="_x0000_i1025" style="width:0;height:1.5pt" o:hralign="center" o:hrstd="t" o:hr="t" fillcolor="#a0a0a0" stroked="f"/>
        </w:pict>
      </w:r>
    </w:p>
    <w:p w:rsidR="0068495C" w:rsidRPr="0068495C" w:rsidRDefault="0068495C" w:rsidP="0068495C">
      <w:pPr>
        <w:pBdr>
          <w:bottom w:val="single" w:sz="6" w:space="1" w:color="auto"/>
        </w:pBdr>
        <w:spacing w:after="0" w:line="240" w:lineRule="auto"/>
        <w:jc w:val="center"/>
        <w:rPr>
          <w:rFonts w:ascii="Arial" w:eastAsia="Times New Roman" w:hAnsi="Arial" w:cs="Arial"/>
          <w:vanish/>
          <w:sz w:val="20"/>
          <w:szCs w:val="20"/>
          <w:lang w:eastAsia="fr-FR"/>
        </w:rPr>
      </w:pPr>
      <w:r w:rsidRPr="0068495C">
        <w:rPr>
          <w:rFonts w:ascii="Arial" w:eastAsia="Times New Roman" w:hAnsi="Arial" w:cs="Arial"/>
          <w:vanish/>
          <w:sz w:val="20"/>
          <w:szCs w:val="20"/>
          <w:lang w:eastAsia="fr-FR"/>
        </w:rPr>
        <w:t>Haut du formulaire</w:t>
      </w:r>
    </w:p>
    <w:p w:rsidR="0068495C" w:rsidRPr="0068495C" w:rsidRDefault="0068495C" w:rsidP="0068495C">
      <w:pPr>
        <w:spacing w:after="0" w:line="240" w:lineRule="auto"/>
        <w:rPr>
          <w:rFonts w:ascii="Arial" w:eastAsia="Times New Roman" w:hAnsi="Arial" w:cs="Arial"/>
          <w:sz w:val="20"/>
          <w:szCs w:val="20"/>
          <w:lang w:eastAsia="fr-FR"/>
        </w:rPr>
      </w:pPr>
      <w:r w:rsidRPr="0068495C">
        <w:rPr>
          <w:rFonts w:ascii="Arial" w:eastAsia="Times New Roman" w:hAnsi="Arial" w:cs="Arial"/>
          <w:noProof/>
          <w:sz w:val="20"/>
          <w:szCs w:val="20"/>
          <w:lang w:eastAsia="fr-FR"/>
        </w:rPr>
        <w:drawing>
          <wp:inline distT="0" distB="0" distL="0" distR="0">
            <wp:extent cx="1905000" cy="2752725"/>
            <wp:effectExtent l="19050" t="0" r="0" b="0"/>
            <wp:docPr id="2" name="Image 2" descr="http://www.arkanissim.fr/espaceconseiller/downloadfile/1930-c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1930-cmp1.jpg"/>
                    <pic:cNvPicPr>
                      <a:picLocks noChangeAspect="1" noChangeArrowheads="1"/>
                    </pic:cNvPicPr>
                  </pic:nvPicPr>
                  <pic:blipFill>
                    <a:blip r:embed="rId4" cstate="print"/>
                    <a:srcRect/>
                    <a:stretch>
                      <a:fillRect/>
                    </a:stretch>
                  </pic:blipFill>
                  <pic:spPr bwMode="auto">
                    <a:xfrm>
                      <a:off x="0" y="0"/>
                      <a:ext cx="1905000" cy="2752725"/>
                    </a:xfrm>
                    <a:prstGeom prst="rect">
                      <a:avLst/>
                    </a:prstGeom>
                    <a:noFill/>
                    <a:ln w="9525">
                      <a:noFill/>
                      <a:miter lim="800000"/>
                      <a:headEnd/>
                      <a:tailEnd/>
                    </a:ln>
                  </pic:spPr>
                </pic:pic>
              </a:graphicData>
            </a:graphic>
          </wp:inline>
        </w:drawing>
      </w:r>
      <w:r w:rsidRPr="0068495C">
        <w:rPr>
          <w:rFonts w:ascii="Arial" w:eastAsia="Times New Roman" w:hAnsi="Arial" w:cs="Arial"/>
          <w:sz w:val="20"/>
          <w:szCs w:val="20"/>
          <w:lang w:eastAsia="fr-FR"/>
        </w:rPr>
        <w:br/>
      </w:r>
      <w:r w:rsidRPr="0068495C">
        <w:rPr>
          <w:rFonts w:ascii="Arial" w:eastAsia="Times New Roman" w:hAnsi="Arial" w:cs="Arial"/>
          <w:noProof/>
          <w:sz w:val="20"/>
          <w:szCs w:val="20"/>
          <w:lang w:eastAsia="fr-FR"/>
        </w:rPr>
        <w:drawing>
          <wp:inline distT="0" distB="0" distL="0" distR="0">
            <wp:extent cx="1905000" cy="2543175"/>
            <wp:effectExtent l="19050" t="0" r="0" b="0"/>
            <wp:docPr id="3" name="Image 3" descr="http://www.arkanissim.fr/espaceconseiller/downloadfile/5497-repartition-geographique-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nissim.fr/espaceconseiller/downloadfile/5497-repartition-geographique-12-09.jpg"/>
                    <pic:cNvPicPr>
                      <a:picLocks noChangeAspect="1" noChangeArrowheads="1"/>
                    </pic:cNvPicPr>
                  </pic:nvPicPr>
                  <pic:blipFill>
                    <a:blip r:embed="rId5" cstate="print"/>
                    <a:srcRect/>
                    <a:stretch>
                      <a:fillRect/>
                    </a:stretch>
                  </pic:blipFill>
                  <pic:spPr bwMode="auto">
                    <a:xfrm>
                      <a:off x="0" y="0"/>
                      <a:ext cx="1905000" cy="2543175"/>
                    </a:xfrm>
                    <a:prstGeom prst="rect">
                      <a:avLst/>
                    </a:prstGeom>
                    <a:noFill/>
                    <a:ln w="9525">
                      <a:noFill/>
                      <a:miter lim="800000"/>
                      <a:headEnd/>
                      <a:tailEnd/>
                    </a:ln>
                  </pic:spPr>
                </pic:pic>
              </a:graphicData>
            </a:graphic>
          </wp:inline>
        </w:drawing>
      </w:r>
      <w:r w:rsidRPr="0068495C">
        <w:rPr>
          <w:rFonts w:ascii="Arial" w:eastAsia="Times New Roman" w:hAnsi="Arial" w:cs="Arial"/>
          <w:sz w:val="20"/>
          <w:szCs w:val="20"/>
          <w:lang w:eastAsia="fr-FR"/>
        </w:rPr>
        <w:br/>
      </w:r>
      <w:r w:rsidRPr="0068495C">
        <w:rPr>
          <w:rFonts w:ascii="Arial" w:eastAsia="Times New Roman" w:hAnsi="Arial" w:cs="Arial"/>
          <w:noProof/>
          <w:sz w:val="20"/>
          <w:szCs w:val="20"/>
          <w:lang w:eastAsia="fr-FR"/>
        </w:rPr>
        <w:drawing>
          <wp:inline distT="0" distB="0" distL="0" distR="0">
            <wp:extent cx="1905000" cy="2447925"/>
            <wp:effectExtent l="19050" t="0" r="0" b="0"/>
            <wp:docPr id="4" name="Image 4" descr="http://www.arkanissim.fr/espaceconseiller/downloadfile/5498-patrimoine-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kanissim.fr/espaceconseiller/downloadfile/5498-patrimoine-12-09.jpg"/>
                    <pic:cNvPicPr>
                      <a:picLocks noChangeAspect="1" noChangeArrowheads="1"/>
                    </pic:cNvPicPr>
                  </pic:nvPicPr>
                  <pic:blipFill>
                    <a:blip r:embed="rId6" cstate="print"/>
                    <a:srcRect/>
                    <a:stretch>
                      <a:fillRect/>
                    </a:stretch>
                  </pic:blipFill>
                  <pic:spPr bwMode="auto">
                    <a:xfrm>
                      <a:off x="0" y="0"/>
                      <a:ext cx="1905000" cy="2447925"/>
                    </a:xfrm>
                    <a:prstGeom prst="rect">
                      <a:avLst/>
                    </a:prstGeom>
                    <a:noFill/>
                    <a:ln w="9525">
                      <a:noFill/>
                      <a:miter lim="800000"/>
                      <a:headEnd/>
                      <a:tailEnd/>
                    </a:ln>
                  </pic:spPr>
                </pic:pic>
              </a:graphicData>
            </a:graphic>
          </wp:inline>
        </w:drawing>
      </w:r>
    </w:p>
    <w:p w:rsidR="0068495C" w:rsidRDefault="0068495C" w:rsidP="0068495C">
      <w:pPr>
        <w:pBdr>
          <w:top w:val="single" w:sz="6" w:space="1" w:color="auto"/>
        </w:pBdr>
        <w:spacing w:after="0" w:line="240" w:lineRule="auto"/>
        <w:jc w:val="center"/>
        <w:rPr>
          <w:rFonts w:ascii="Arial" w:eastAsia="Times New Roman" w:hAnsi="Arial" w:cs="Arial"/>
          <w:sz w:val="20"/>
          <w:szCs w:val="20"/>
          <w:lang w:eastAsia="fr-FR"/>
        </w:rPr>
      </w:pPr>
    </w:p>
    <w:p w:rsidR="0068495C" w:rsidRPr="0068495C" w:rsidRDefault="0068495C" w:rsidP="0068495C">
      <w:pPr>
        <w:pBdr>
          <w:top w:val="single" w:sz="6" w:space="1" w:color="auto"/>
        </w:pBdr>
        <w:spacing w:after="0" w:line="240" w:lineRule="auto"/>
        <w:jc w:val="center"/>
        <w:rPr>
          <w:rFonts w:ascii="Arial" w:eastAsia="Times New Roman" w:hAnsi="Arial" w:cs="Arial"/>
          <w:vanish/>
          <w:sz w:val="20"/>
          <w:szCs w:val="20"/>
          <w:lang w:eastAsia="fr-FR"/>
        </w:rPr>
      </w:pPr>
      <w:r w:rsidRPr="0068495C">
        <w:rPr>
          <w:rFonts w:ascii="Arial" w:eastAsia="Times New Roman" w:hAnsi="Arial" w:cs="Arial"/>
          <w:vanish/>
          <w:sz w:val="20"/>
          <w:szCs w:val="20"/>
          <w:lang w:eastAsia="fr-FR"/>
        </w:rPr>
        <w:t>Bas du formulaire</w:t>
      </w:r>
    </w:p>
    <w:p w:rsidR="00C32BBC" w:rsidRPr="0068495C" w:rsidRDefault="0068495C" w:rsidP="0068495C">
      <w:pPr>
        <w:spacing w:after="0" w:line="240" w:lineRule="auto"/>
        <w:rPr>
          <w:rFonts w:ascii="Arial" w:eastAsia="Times New Roman" w:hAnsi="Arial" w:cs="Arial"/>
          <w:sz w:val="20"/>
          <w:szCs w:val="20"/>
          <w:lang w:eastAsia="fr-FR"/>
        </w:rPr>
      </w:pPr>
      <w:r w:rsidRPr="0068495C">
        <w:rPr>
          <w:rFonts w:ascii="Arial" w:eastAsia="Times New Roman" w:hAnsi="Arial" w:cs="Arial"/>
          <w:sz w:val="20"/>
          <w:szCs w:val="20"/>
          <w:lang w:eastAsia="fr-FR"/>
        </w:rPr>
        <w:t xml:space="preserve">Pionnière sur le marché des SCPI, Crédit Mutuel Pierre 1 a constitué, après plus de 30 années d'existence et au gré de différentes fusions, un patrimoine riche et varié.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lastRenderedPageBreak/>
        <w:t xml:space="preserve">La taille et la capacité d'arbitrage et d'investissement de cette SCPI, dont la capitalisation atteint plus de 750 millions d'€, lui assurent une bonne mutualisation locative et géographique. </w:t>
      </w:r>
      <w:r w:rsidRPr="0068495C">
        <w:rPr>
          <w:rFonts w:ascii="Arial" w:eastAsia="Times New Roman" w:hAnsi="Arial" w:cs="Arial"/>
          <w:sz w:val="20"/>
          <w:szCs w:val="20"/>
          <w:lang w:eastAsia="fr-FR"/>
        </w:rPr>
        <w:br/>
        <w:t xml:space="preserve">Crédit Mutuel Pierre 1 bénéficie, en outre, depuis plusieurs années, de la hausse constante des expertises de son patrimoine et le prix de la part de 203 € en 1999 a régulièrement progressé pour atteindre 281 € en 2007. </w:t>
      </w:r>
      <w:r w:rsidRPr="0068495C">
        <w:rPr>
          <w:rFonts w:ascii="Arial" w:eastAsia="Times New Roman" w:hAnsi="Arial" w:cs="Arial"/>
          <w:sz w:val="20"/>
          <w:szCs w:val="20"/>
          <w:lang w:eastAsia="fr-FR"/>
        </w:rPr>
        <w:br/>
        <w:t xml:space="preserve">CMP1 est un investissement destiné aux épargnants souhaitant profiter des revenus d'immeubles situés en majorité à Paris et en région parisienne, siège d'une forte demande locative professionnelle.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Nature </w:t>
      </w:r>
      <w:r w:rsidRPr="0068495C">
        <w:rPr>
          <w:rFonts w:ascii="Arial" w:eastAsia="Times New Roman" w:hAnsi="Arial" w:cs="Arial"/>
          <w:sz w:val="20"/>
          <w:szCs w:val="20"/>
          <w:lang w:eastAsia="fr-FR"/>
        </w:rPr>
        <w:br/>
        <w:t xml:space="preserve">SCPI de rendement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Surface totale au 31/12/2009 : 376 398 m2 </w:t>
      </w:r>
      <w:r w:rsidRPr="0068495C">
        <w:rPr>
          <w:rFonts w:ascii="Arial" w:eastAsia="Times New Roman" w:hAnsi="Arial" w:cs="Arial"/>
          <w:sz w:val="20"/>
          <w:szCs w:val="20"/>
          <w:lang w:eastAsia="fr-FR"/>
        </w:rPr>
        <w:br/>
        <w:t xml:space="preserve">184 immeubles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Locataires significatifs : </w:t>
      </w:r>
      <w:r w:rsidRPr="0068495C">
        <w:rPr>
          <w:rFonts w:ascii="Arial" w:eastAsia="Times New Roman" w:hAnsi="Arial" w:cs="Arial"/>
          <w:sz w:val="20"/>
          <w:szCs w:val="20"/>
          <w:lang w:eastAsia="fr-FR"/>
        </w:rPr>
        <w:br/>
        <w:t xml:space="preserve">La Poste, France Télécom, Décathlon, Casino, Axa, Ed l'Epicier, Total, </w:t>
      </w:r>
      <w:proofErr w:type="spellStart"/>
      <w:r w:rsidRPr="0068495C">
        <w:rPr>
          <w:rFonts w:ascii="Arial" w:eastAsia="Times New Roman" w:hAnsi="Arial" w:cs="Arial"/>
          <w:sz w:val="20"/>
          <w:szCs w:val="20"/>
          <w:lang w:eastAsia="fr-FR"/>
        </w:rPr>
        <w:t>Oseo</w:t>
      </w:r>
      <w:proofErr w:type="spellEnd"/>
      <w:r w:rsidRPr="0068495C">
        <w:rPr>
          <w:rFonts w:ascii="Arial" w:eastAsia="Times New Roman" w:hAnsi="Arial" w:cs="Arial"/>
          <w:sz w:val="20"/>
          <w:szCs w:val="20"/>
          <w:lang w:eastAsia="fr-FR"/>
        </w:rPr>
        <w:t xml:space="preserve">, Lafarge, </w:t>
      </w:r>
      <w:proofErr w:type="spellStart"/>
      <w:r w:rsidRPr="0068495C">
        <w:rPr>
          <w:rFonts w:ascii="Arial" w:eastAsia="Times New Roman" w:hAnsi="Arial" w:cs="Arial"/>
          <w:sz w:val="20"/>
          <w:szCs w:val="20"/>
          <w:lang w:eastAsia="fr-FR"/>
        </w:rPr>
        <w:t>Véolia</w:t>
      </w:r>
      <w:proofErr w:type="spellEnd"/>
      <w:r w:rsidRPr="0068495C">
        <w:rPr>
          <w:rFonts w:ascii="Arial" w:eastAsia="Times New Roman" w:hAnsi="Arial" w:cs="Arial"/>
          <w:sz w:val="20"/>
          <w:szCs w:val="20"/>
          <w:lang w:eastAsia="fr-FR"/>
        </w:rPr>
        <w:t xml:space="preserve">, Pages Jaunes, </w:t>
      </w:r>
      <w:proofErr w:type="spellStart"/>
      <w:r w:rsidRPr="0068495C">
        <w:rPr>
          <w:rFonts w:ascii="Arial" w:eastAsia="Times New Roman" w:hAnsi="Arial" w:cs="Arial"/>
          <w:sz w:val="20"/>
          <w:szCs w:val="20"/>
          <w:lang w:eastAsia="fr-FR"/>
        </w:rPr>
        <w:t>Aréva</w:t>
      </w:r>
      <w:proofErr w:type="spellEnd"/>
      <w:r w:rsidRPr="0068495C">
        <w:rPr>
          <w:rFonts w:ascii="Arial" w:eastAsia="Times New Roman" w:hAnsi="Arial" w:cs="Arial"/>
          <w:sz w:val="20"/>
          <w:szCs w:val="20"/>
          <w:lang w:eastAsia="fr-FR"/>
        </w:rPr>
        <w:t xml:space="preserve">...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Prix de souscription au 01/01/2010 : 285,00 €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Rentabilité 2009 : 5,13%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Rentabilité prévisionnelle 2010 : 5,00%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Minimum de souscription : 1 part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Jouissance de parts : </w:t>
      </w:r>
      <w:r w:rsidRPr="0068495C">
        <w:rPr>
          <w:rFonts w:ascii="Arial" w:eastAsia="Times New Roman" w:hAnsi="Arial" w:cs="Arial"/>
          <w:sz w:val="20"/>
          <w:szCs w:val="20"/>
          <w:lang w:eastAsia="fr-FR"/>
        </w:rPr>
        <w:br/>
      </w:r>
      <w:r w:rsidRPr="0068495C">
        <w:rPr>
          <w:rFonts w:ascii="Arial" w:eastAsia="Times New Roman" w:hAnsi="Arial" w:cs="Arial"/>
          <w:sz w:val="20"/>
          <w:szCs w:val="20"/>
          <w:lang w:eastAsia="fr-FR"/>
        </w:rPr>
        <w:br/>
        <w:t xml:space="preserve">- Souscription : les parts souscrites au cours d'un mois donné portent jouissance, après un délai de deux mois, le 1er jour du mois suivant. </w:t>
      </w:r>
      <w:r w:rsidRPr="0068495C">
        <w:rPr>
          <w:rFonts w:ascii="Arial" w:eastAsia="Times New Roman" w:hAnsi="Arial" w:cs="Arial"/>
          <w:sz w:val="20"/>
          <w:szCs w:val="20"/>
          <w:lang w:eastAsia="fr-FR"/>
        </w:rPr>
        <w:br/>
        <w:t>- Retrait : la date de fin de jouissance des parts annulées est fixée à la fin du mois au cours duquel est effe</w:t>
      </w:r>
      <w:r>
        <w:rPr>
          <w:rFonts w:ascii="Arial" w:eastAsia="Times New Roman" w:hAnsi="Arial" w:cs="Arial"/>
          <w:sz w:val="20"/>
          <w:szCs w:val="20"/>
          <w:lang w:eastAsia="fr-FR"/>
        </w:rPr>
        <w:t xml:space="preserve">ctuée l'opération de retrait. </w:t>
      </w:r>
      <w:r>
        <w:rPr>
          <w:rFonts w:ascii="Arial" w:eastAsia="Times New Roman" w:hAnsi="Arial" w:cs="Arial"/>
          <w:sz w:val="20"/>
          <w:szCs w:val="20"/>
          <w:lang w:eastAsia="fr-FR"/>
        </w:rPr>
        <w:br/>
      </w:r>
      <w:r w:rsidRPr="0068495C">
        <w:rPr>
          <w:rFonts w:ascii="Arial" w:eastAsia="Times New Roman" w:hAnsi="Arial" w:cs="Arial"/>
          <w:sz w:val="20"/>
          <w:szCs w:val="20"/>
          <w:lang w:eastAsia="fr-FR"/>
        </w:rPr>
        <w:br/>
      </w:r>
      <w:proofErr w:type="spellStart"/>
      <w:r w:rsidRPr="0068495C">
        <w:rPr>
          <w:rFonts w:ascii="Arial" w:eastAsia="Times New Roman" w:hAnsi="Arial" w:cs="Arial"/>
          <w:sz w:val="20"/>
          <w:szCs w:val="20"/>
          <w:lang w:eastAsia="fr-FR"/>
        </w:rPr>
        <w:t>Process</w:t>
      </w:r>
      <w:proofErr w:type="spellEnd"/>
      <w:r>
        <w:rPr>
          <w:rFonts w:ascii="Arial" w:eastAsia="Times New Roman" w:hAnsi="Arial" w:cs="Arial"/>
          <w:sz w:val="20"/>
          <w:szCs w:val="20"/>
          <w:lang w:eastAsia="fr-FR"/>
        </w:rPr>
        <w:t> :</w:t>
      </w:r>
      <w:r w:rsidRPr="0068495C">
        <w:rPr>
          <w:rFonts w:ascii="Arial" w:eastAsia="Times New Roman" w:hAnsi="Arial" w:cs="Arial"/>
          <w:sz w:val="20"/>
          <w:szCs w:val="20"/>
          <w:lang w:eastAsia="fr-FR"/>
        </w:rPr>
        <w:br/>
        <w:t>Pour toutes nouvelles souscriptions aux SCPI du groupe UFG :</w:t>
      </w:r>
      <w:r>
        <w:rPr>
          <w:rFonts w:ascii="Arial" w:eastAsia="Times New Roman" w:hAnsi="Arial" w:cs="Arial"/>
          <w:sz w:val="20"/>
          <w:szCs w:val="20"/>
          <w:lang w:eastAsia="fr-FR"/>
        </w:rPr>
        <w:t xml:space="preserve"> </w:t>
      </w:r>
      <w:r>
        <w:rPr>
          <w:rFonts w:ascii="Arial" w:eastAsia="Times New Roman" w:hAnsi="Arial" w:cs="Arial"/>
          <w:sz w:val="20"/>
          <w:szCs w:val="20"/>
          <w:lang w:eastAsia="fr-FR"/>
        </w:rPr>
        <w:br/>
        <w:t xml:space="preserve">Il faut transmettre : </w:t>
      </w:r>
      <w:r w:rsidRPr="0068495C">
        <w:rPr>
          <w:rFonts w:ascii="Arial" w:eastAsia="Times New Roman" w:hAnsi="Arial" w:cs="Arial"/>
          <w:sz w:val="20"/>
          <w:szCs w:val="20"/>
          <w:lang w:eastAsia="fr-FR"/>
        </w:rPr>
        <w:br/>
        <w:t xml:space="preserve">- Bulletin de souscription, </w:t>
      </w:r>
      <w:r w:rsidRPr="0068495C">
        <w:rPr>
          <w:rFonts w:ascii="Arial" w:eastAsia="Times New Roman" w:hAnsi="Arial" w:cs="Arial"/>
          <w:sz w:val="20"/>
          <w:szCs w:val="20"/>
          <w:lang w:eastAsia="fr-FR"/>
        </w:rPr>
        <w:br/>
        <w:t xml:space="preserve">- Récépissé, </w:t>
      </w:r>
      <w:r w:rsidRPr="0068495C">
        <w:rPr>
          <w:rFonts w:ascii="Arial" w:eastAsia="Times New Roman" w:hAnsi="Arial" w:cs="Arial"/>
          <w:sz w:val="20"/>
          <w:szCs w:val="20"/>
          <w:lang w:eastAsia="fr-FR"/>
        </w:rPr>
        <w:br/>
        <w:t xml:space="preserve">- Questionnaire de connaissance du client, </w:t>
      </w:r>
      <w:r w:rsidRPr="0068495C">
        <w:rPr>
          <w:rFonts w:ascii="Arial" w:eastAsia="Times New Roman" w:hAnsi="Arial" w:cs="Arial"/>
          <w:sz w:val="20"/>
          <w:szCs w:val="20"/>
          <w:lang w:eastAsia="fr-FR"/>
        </w:rPr>
        <w:br/>
        <w:t xml:space="preserve">- Test d'adéquation aux produits SCPI, </w:t>
      </w:r>
      <w:r w:rsidRPr="0068495C">
        <w:rPr>
          <w:rFonts w:ascii="Arial" w:eastAsia="Times New Roman" w:hAnsi="Arial" w:cs="Arial"/>
          <w:sz w:val="20"/>
          <w:szCs w:val="20"/>
          <w:lang w:eastAsia="fr-FR"/>
        </w:rPr>
        <w:br/>
        <w:t xml:space="preserve">- Justificatif de domicile de moins de trois mois, </w:t>
      </w:r>
      <w:r w:rsidRPr="0068495C">
        <w:rPr>
          <w:rFonts w:ascii="Arial" w:eastAsia="Times New Roman" w:hAnsi="Arial" w:cs="Arial"/>
          <w:sz w:val="20"/>
          <w:szCs w:val="20"/>
          <w:lang w:eastAsia="fr-FR"/>
        </w:rPr>
        <w:br/>
        <w:t>- CN</w:t>
      </w:r>
      <w:r>
        <w:rPr>
          <w:rFonts w:ascii="Arial" w:eastAsia="Times New Roman" w:hAnsi="Arial" w:cs="Arial"/>
          <w:sz w:val="20"/>
          <w:szCs w:val="20"/>
          <w:lang w:eastAsia="fr-FR"/>
        </w:rPr>
        <w:t xml:space="preserve">I en cours de validité, </w:t>
      </w:r>
      <w:r>
        <w:rPr>
          <w:rFonts w:ascii="Arial" w:eastAsia="Times New Roman" w:hAnsi="Arial" w:cs="Arial"/>
          <w:sz w:val="20"/>
          <w:szCs w:val="20"/>
          <w:lang w:eastAsia="fr-FR"/>
        </w:rPr>
        <w:br/>
        <w:t xml:space="preserve">- RIB </w:t>
      </w:r>
      <w:r w:rsidRPr="0068495C">
        <w:rPr>
          <w:rFonts w:ascii="Arial" w:eastAsia="Times New Roman" w:hAnsi="Arial" w:cs="Arial"/>
          <w:sz w:val="20"/>
          <w:szCs w:val="20"/>
          <w:lang w:eastAsia="fr-FR"/>
        </w:rPr>
        <w:br/>
        <w:t>Pour tous les dossiers avec financement, le chèque de banque doit être justifié par une copie de l'offre de prêt ou par le rapport spécial dans le cadre LAB (Lutte Anti Blanchiment).</w:t>
      </w:r>
    </w:p>
    <w:sectPr w:rsidR="00C32BBC" w:rsidRPr="0068495C" w:rsidSect="0068495C">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495C"/>
    <w:rsid w:val="005E4C9E"/>
    <w:rsid w:val="0068495C"/>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68495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8495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8495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8495C"/>
    <w:rPr>
      <w:rFonts w:ascii="Arial" w:eastAsia="Times New Roman" w:hAnsi="Arial" w:cs="Arial"/>
      <w:vanish/>
      <w:sz w:val="16"/>
      <w:szCs w:val="16"/>
      <w:lang w:eastAsia="fr-FR"/>
    </w:rPr>
  </w:style>
  <w:style w:type="character" w:customStyle="1" w:styleId="texteor">
    <w:name w:val="texteor"/>
    <w:basedOn w:val="Policepardfaut"/>
    <w:rsid w:val="0068495C"/>
  </w:style>
  <w:style w:type="character" w:customStyle="1" w:styleId="textebleu">
    <w:name w:val="textebleu"/>
    <w:basedOn w:val="Policepardfaut"/>
    <w:rsid w:val="0068495C"/>
  </w:style>
  <w:style w:type="paragraph" w:styleId="Textedebulles">
    <w:name w:val="Balloon Text"/>
    <w:basedOn w:val="Normal"/>
    <w:link w:val="TextedebullesCar"/>
    <w:uiPriority w:val="99"/>
    <w:semiHidden/>
    <w:unhideWhenUsed/>
    <w:rsid w:val="006849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770431">
      <w:bodyDiv w:val="1"/>
      <w:marLeft w:val="0"/>
      <w:marRight w:val="0"/>
      <w:marTop w:val="0"/>
      <w:marBottom w:val="0"/>
      <w:divBdr>
        <w:top w:val="none" w:sz="0" w:space="0" w:color="auto"/>
        <w:left w:val="none" w:sz="0" w:space="0" w:color="auto"/>
        <w:bottom w:val="none" w:sz="0" w:space="0" w:color="auto"/>
        <w:right w:val="none" w:sz="0" w:space="0" w:color="auto"/>
      </w:divBdr>
      <w:divsChild>
        <w:div w:id="299923073">
          <w:marLeft w:val="0"/>
          <w:marRight w:val="0"/>
          <w:marTop w:val="0"/>
          <w:marBottom w:val="0"/>
          <w:divBdr>
            <w:top w:val="none" w:sz="0" w:space="0" w:color="auto"/>
            <w:left w:val="none" w:sz="0" w:space="0" w:color="auto"/>
            <w:bottom w:val="none" w:sz="0" w:space="0" w:color="auto"/>
            <w:right w:val="none" w:sz="0" w:space="0" w:color="auto"/>
          </w:divBdr>
          <w:divsChild>
            <w:div w:id="1395616936">
              <w:marLeft w:val="0"/>
              <w:marRight w:val="0"/>
              <w:marTop w:val="0"/>
              <w:marBottom w:val="0"/>
              <w:divBdr>
                <w:top w:val="none" w:sz="0" w:space="0" w:color="auto"/>
                <w:left w:val="none" w:sz="0" w:space="0" w:color="auto"/>
                <w:bottom w:val="none" w:sz="0" w:space="0" w:color="auto"/>
                <w:right w:val="none" w:sz="0" w:space="0" w:color="auto"/>
              </w:divBdr>
              <w:divsChild>
                <w:div w:id="1973293259">
                  <w:marLeft w:val="0"/>
                  <w:marRight w:val="0"/>
                  <w:marTop w:val="0"/>
                  <w:marBottom w:val="0"/>
                  <w:divBdr>
                    <w:top w:val="none" w:sz="0" w:space="0" w:color="auto"/>
                    <w:left w:val="none" w:sz="0" w:space="0" w:color="auto"/>
                    <w:bottom w:val="none" w:sz="0" w:space="0" w:color="auto"/>
                    <w:right w:val="none" w:sz="0" w:space="0" w:color="auto"/>
                  </w:divBdr>
                </w:div>
                <w:div w:id="51314703">
                  <w:marLeft w:val="0"/>
                  <w:marRight w:val="0"/>
                  <w:marTop w:val="0"/>
                  <w:marBottom w:val="0"/>
                  <w:divBdr>
                    <w:top w:val="none" w:sz="0" w:space="0" w:color="auto"/>
                    <w:left w:val="none" w:sz="0" w:space="0" w:color="auto"/>
                    <w:bottom w:val="none" w:sz="0" w:space="0" w:color="auto"/>
                    <w:right w:val="none" w:sz="0" w:space="0" w:color="auto"/>
                  </w:divBdr>
                  <w:divsChild>
                    <w:div w:id="990448377">
                      <w:marLeft w:val="0"/>
                      <w:marRight w:val="0"/>
                      <w:marTop w:val="0"/>
                      <w:marBottom w:val="0"/>
                      <w:divBdr>
                        <w:top w:val="none" w:sz="0" w:space="0" w:color="auto"/>
                        <w:left w:val="none" w:sz="0" w:space="0" w:color="auto"/>
                        <w:bottom w:val="none" w:sz="0" w:space="0" w:color="auto"/>
                        <w:right w:val="none" w:sz="0" w:space="0" w:color="auto"/>
                      </w:divBdr>
                    </w:div>
                  </w:divsChild>
                </w:div>
                <w:div w:id="15152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1735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2010-12-01T17:29:00Z</dcterms:created>
  <dcterms:modified xsi:type="dcterms:W3CDTF">2010-12-01T17:32:00Z</dcterms:modified>
</cp:coreProperties>
</file>