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794" w:rsidRPr="00E10794" w:rsidRDefault="00E10794" w:rsidP="00E10794">
      <w:pPr>
        <w:spacing w:after="0" w:line="240" w:lineRule="auto"/>
        <w:rPr>
          <w:rFonts w:eastAsia="Times New Roman" w:cstheme="minorHAnsi"/>
          <w:b/>
          <w:sz w:val="20"/>
          <w:szCs w:val="20"/>
          <w:lang w:eastAsia="fr-FR"/>
        </w:rPr>
      </w:pPr>
      <w:r w:rsidRPr="00E10794">
        <w:rPr>
          <w:rFonts w:eastAsia="Times New Roman" w:cstheme="minorHAnsi"/>
          <w:b/>
          <w:sz w:val="20"/>
          <w:szCs w:val="20"/>
          <w:lang w:eastAsia="fr-FR"/>
        </w:rPr>
        <w:t xml:space="preserve">PRIMOPIERRE -- </w:t>
      </w:r>
      <w:proofErr w:type="spellStart"/>
      <w:r w:rsidRPr="00E10794">
        <w:rPr>
          <w:rFonts w:eastAsia="Times New Roman" w:cstheme="minorHAnsi"/>
          <w:b/>
          <w:sz w:val="20"/>
          <w:szCs w:val="20"/>
          <w:lang w:eastAsia="fr-FR"/>
        </w:rPr>
        <w:t>Primonial</w:t>
      </w:r>
      <w:proofErr w:type="spellEnd"/>
      <w:r w:rsidRPr="00E10794">
        <w:rPr>
          <w:rFonts w:eastAsia="Times New Roman" w:cstheme="minorHAnsi"/>
          <w:b/>
          <w:sz w:val="20"/>
          <w:szCs w:val="20"/>
          <w:lang w:eastAsia="fr-FR"/>
        </w:rPr>
        <w:t xml:space="preserve"> - BNP Paribas </w:t>
      </w:r>
    </w:p>
    <w:p w:rsidR="00E10794" w:rsidRPr="00E10794" w:rsidRDefault="00E10794" w:rsidP="00E10794">
      <w:pPr>
        <w:spacing w:after="0" w:line="240" w:lineRule="auto"/>
        <w:rPr>
          <w:rFonts w:eastAsia="Times New Roman" w:cstheme="minorHAnsi"/>
          <w:sz w:val="20"/>
          <w:szCs w:val="20"/>
          <w:lang w:eastAsia="fr-FR"/>
        </w:rPr>
      </w:pPr>
      <w:r w:rsidRPr="00E10794">
        <w:rPr>
          <w:rFonts w:eastAsia="Times New Roman" w:cstheme="minorHAnsi"/>
          <w:sz w:val="20"/>
          <w:szCs w:val="20"/>
          <w:lang w:eastAsia="fr-FR"/>
        </w:rPr>
        <w:pict>
          <v:rect id="_x0000_i1025" style="width:0;height:1.5pt" o:hralign="center" o:hrstd="t" o:hr="t" fillcolor="#a0a0a0" stroked="f"/>
        </w:pict>
      </w:r>
    </w:p>
    <w:p w:rsidR="00E10794" w:rsidRPr="00E10794" w:rsidRDefault="00E10794" w:rsidP="00E10794">
      <w:pPr>
        <w:pBdr>
          <w:bottom w:val="single" w:sz="6" w:space="1" w:color="auto"/>
        </w:pBdr>
        <w:spacing w:after="0" w:line="240" w:lineRule="auto"/>
        <w:jc w:val="center"/>
        <w:rPr>
          <w:rFonts w:eastAsia="Times New Roman" w:cstheme="minorHAnsi"/>
          <w:vanish/>
          <w:sz w:val="20"/>
          <w:szCs w:val="20"/>
          <w:lang w:eastAsia="fr-FR"/>
        </w:rPr>
      </w:pPr>
      <w:r w:rsidRPr="00E10794">
        <w:rPr>
          <w:rFonts w:eastAsia="Times New Roman" w:cstheme="minorHAnsi"/>
          <w:vanish/>
          <w:sz w:val="20"/>
          <w:szCs w:val="20"/>
          <w:lang w:eastAsia="fr-FR"/>
        </w:rPr>
        <w:t>Haut du formulaire</w:t>
      </w:r>
    </w:p>
    <w:p w:rsidR="00E10794" w:rsidRPr="00E10794" w:rsidRDefault="00E10794" w:rsidP="00E10794">
      <w:pPr>
        <w:spacing w:after="0" w:line="240" w:lineRule="auto"/>
        <w:rPr>
          <w:rFonts w:eastAsia="Times New Roman" w:cstheme="minorHAnsi"/>
          <w:sz w:val="20"/>
          <w:szCs w:val="20"/>
          <w:lang w:eastAsia="fr-FR"/>
        </w:rPr>
      </w:pPr>
      <w:r w:rsidRPr="00E10794">
        <w:rPr>
          <w:rFonts w:eastAsia="Times New Roman" w:cstheme="minorHAnsi"/>
          <w:noProof/>
          <w:sz w:val="20"/>
          <w:szCs w:val="20"/>
          <w:lang w:eastAsia="fr-FR"/>
        </w:rPr>
        <w:drawing>
          <wp:inline distT="0" distB="0" distL="0" distR="0">
            <wp:extent cx="2095500" cy="1695450"/>
            <wp:effectExtent l="19050" t="0" r="0" b="0"/>
            <wp:docPr id="2" name="Image 2" descr="http://www.arkanissim.fr/espaceconseiller/downloadfile/4447-primopier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kanissim.fr/espaceconseiller/downloadfile/4447-primopierre-1.jpg"/>
                    <pic:cNvPicPr>
                      <a:picLocks noChangeAspect="1" noChangeArrowheads="1"/>
                    </pic:cNvPicPr>
                  </pic:nvPicPr>
                  <pic:blipFill>
                    <a:blip r:embed="rId4" cstate="print"/>
                    <a:srcRect/>
                    <a:stretch>
                      <a:fillRect/>
                    </a:stretch>
                  </pic:blipFill>
                  <pic:spPr bwMode="auto">
                    <a:xfrm>
                      <a:off x="0" y="0"/>
                      <a:ext cx="2095500" cy="1695450"/>
                    </a:xfrm>
                    <a:prstGeom prst="rect">
                      <a:avLst/>
                    </a:prstGeom>
                    <a:noFill/>
                    <a:ln w="9525">
                      <a:noFill/>
                      <a:miter lim="800000"/>
                      <a:headEnd/>
                      <a:tailEnd/>
                    </a:ln>
                  </pic:spPr>
                </pic:pic>
              </a:graphicData>
            </a:graphic>
          </wp:inline>
        </w:drawing>
      </w:r>
      <w:r w:rsidRPr="00E10794">
        <w:rPr>
          <w:rFonts w:eastAsia="Times New Roman" w:cstheme="minorHAnsi"/>
          <w:sz w:val="20"/>
          <w:szCs w:val="20"/>
          <w:lang w:eastAsia="fr-FR"/>
        </w:rPr>
        <w:br/>
      </w:r>
      <w:r w:rsidRPr="00E10794">
        <w:rPr>
          <w:rFonts w:eastAsia="Times New Roman" w:cstheme="minorHAnsi"/>
          <w:noProof/>
          <w:sz w:val="20"/>
          <w:szCs w:val="20"/>
          <w:lang w:eastAsia="fr-FR"/>
        </w:rPr>
        <w:drawing>
          <wp:inline distT="0" distB="0" distL="0" distR="0">
            <wp:extent cx="2095500" cy="1885950"/>
            <wp:effectExtent l="19050" t="0" r="0" b="0"/>
            <wp:docPr id="3" name="Image 3" descr="http://www.arkanissim.fr/espaceconseiller/downloadfile/4448-primopier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rkanissim.fr/espaceconseiller/downloadfile/4448-primopierre-2.jpg"/>
                    <pic:cNvPicPr>
                      <a:picLocks noChangeAspect="1" noChangeArrowheads="1"/>
                    </pic:cNvPicPr>
                  </pic:nvPicPr>
                  <pic:blipFill>
                    <a:blip r:embed="rId5" cstate="print"/>
                    <a:srcRect/>
                    <a:stretch>
                      <a:fillRect/>
                    </a:stretch>
                  </pic:blipFill>
                  <pic:spPr bwMode="auto">
                    <a:xfrm>
                      <a:off x="0" y="0"/>
                      <a:ext cx="2095500" cy="1885950"/>
                    </a:xfrm>
                    <a:prstGeom prst="rect">
                      <a:avLst/>
                    </a:prstGeom>
                    <a:noFill/>
                    <a:ln w="9525">
                      <a:noFill/>
                      <a:miter lim="800000"/>
                      <a:headEnd/>
                      <a:tailEnd/>
                    </a:ln>
                  </pic:spPr>
                </pic:pic>
              </a:graphicData>
            </a:graphic>
          </wp:inline>
        </w:drawing>
      </w:r>
    </w:p>
    <w:p w:rsidR="00E10794" w:rsidRDefault="00E10794" w:rsidP="00E10794">
      <w:pPr>
        <w:pBdr>
          <w:top w:val="single" w:sz="6" w:space="1" w:color="auto"/>
        </w:pBdr>
        <w:spacing w:after="0" w:line="240" w:lineRule="auto"/>
        <w:jc w:val="center"/>
        <w:rPr>
          <w:rFonts w:eastAsia="Times New Roman" w:cstheme="minorHAnsi"/>
          <w:sz w:val="20"/>
          <w:szCs w:val="20"/>
          <w:lang w:eastAsia="fr-FR"/>
        </w:rPr>
      </w:pPr>
    </w:p>
    <w:p w:rsidR="00E10794" w:rsidRPr="00E10794" w:rsidRDefault="00E10794" w:rsidP="00E10794">
      <w:pPr>
        <w:pBdr>
          <w:top w:val="single" w:sz="6" w:space="1" w:color="auto"/>
        </w:pBdr>
        <w:spacing w:after="0" w:line="240" w:lineRule="auto"/>
        <w:jc w:val="center"/>
        <w:rPr>
          <w:rFonts w:eastAsia="Times New Roman" w:cstheme="minorHAnsi"/>
          <w:vanish/>
          <w:sz w:val="20"/>
          <w:szCs w:val="20"/>
          <w:lang w:eastAsia="fr-FR"/>
        </w:rPr>
      </w:pPr>
      <w:r w:rsidRPr="00E10794">
        <w:rPr>
          <w:rFonts w:eastAsia="Times New Roman" w:cstheme="minorHAnsi"/>
          <w:vanish/>
          <w:sz w:val="20"/>
          <w:szCs w:val="20"/>
          <w:lang w:eastAsia="fr-FR"/>
        </w:rPr>
        <w:t>Bas du formulaire</w:t>
      </w:r>
    </w:p>
    <w:p w:rsidR="00E10794" w:rsidRDefault="00E10794" w:rsidP="00E10794">
      <w:pPr>
        <w:spacing w:after="0" w:line="240" w:lineRule="auto"/>
        <w:rPr>
          <w:rFonts w:eastAsia="Times New Roman" w:cstheme="minorHAnsi"/>
          <w:sz w:val="20"/>
          <w:szCs w:val="20"/>
          <w:lang w:eastAsia="fr-FR"/>
        </w:rPr>
      </w:pPr>
      <w:proofErr w:type="spellStart"/>
      <w:r w:rsidRPr="00E10794">
        <w:rPr>
          <w:rFonts w:eastAsia="Times New Roman" w:cstheme="minorHAnsi"/>
          <w:sz w:val="20"/>
          <w:szCs w:val="20"/>
          <w:lang w:eastAsia="fr-FR"/>
        </w:rPr>
        <w:t>Primopierre</w:t>
      </w:r>
      <w:proofErr w:type="spellEnd"/>
      <w:r w:rsidRPr="00E10794">
        <w:rPr>
          <w:rFonts w:eastAsia="Times New Roman" w:cstheme="minorHAnsi"/>
          <w:sz w:val="20"/>
          <w:szCs w:val="20"/>
          <w:lang w:eastAsia="fr-FR"/>
        </w:rPr>
        <w:t xml:space="preserve"> a pour objectif de faire bénéficier les investisseurs des opportunités actuelles sur les valeurs de transaction, dans un contexte de rareté du financement qui favorise les acteurs sur fonds propres et justifie une hausse des rendements à l'acquisition. Ainsi, les souscripteurs de parts de la SCPI </w:t>
      </w:r>
      <w:proofErr w:type="spellStart"/>
      <w:r w:rsidRPr="00E10794">
        <w:rPr>
          <w:rFonts w:eastAsia="Times New Roman" w:cstheme="minorHAnsi"/>
          <w:sz w:val="20"/>
          <w:szCs w:val="20"/>
          <w:lang w:eastAsia="fr-FR"/>
        </w:rPr>
        <w:t>Primopierre</w:t>
      </w:r>
      <w:proofErr w:type="spellEnd"/>
      <w:r w:rsidRPr="00E10794">
        <w:rPr>
          <w:rFonts w:eastAsia="Times New Roman" w:cstheme="minorHAnsi"/>
          <w:sz w:val="20"/>
          <w:szCs w:val="20"/>
          <w:lang w:eastAsia="fr-FR"/>
        </w:rPr>
        <w:t xml:space="preserve"> peuvent bénéficier pleinement des nouvelles conditions de marché pour un meilleur rendement final distribué. </w:t>
      </w:r>
      <w:r w:rsidRPr="00E10794">
        <w:rPr>
          <w:rFonts w:eastAsia="Times New Roman" w:cstheme="minorHAnsi"/>
          <w:sz w:val="20"/>
          <w:szCs w:val="20"/>
          <w:lang w:eastAsia="fr-FR"/>
        </w:rPr>
        <w:br/>
      </w:r>
      <w:r w:rsidRPr="00E10794">
        <w:rPr>
          <w:rFonts w:eastAsia="Times New Roman" w:cstheme="minorHAnsi"/>
          <w:sz w:val="20"/>
          <w:szCs w:val="20"/>
          <w:lang w:eastAsia="fr-FR"/>
        </w:rPr>
        <w:br/>
        <w:t xml:space="preserve">La SCPI </w:t>
      </w:r>
      <w:proofErr w:type="spellStart"/>
      <w:r w:rsidRPr="00E10794">
        <w:rPr>
          <w:rFonts w:eastAsia="Times New Roman" w:cstheme="minorHAnsi"/>
          <w:sz w:val="20"/>
          <w:szCs w:val="20"/>
          <w:lang w:eastAsia="fr-FR"/>
        </w:rPr>
        <w:t>Primopierre</w:t>
      </w:r>
      <w:proofErr w:type="spellEnd"/>
      <w:r w:rsidRPr="00E10794">
        <w:rPr>
          <w:rFonts w:eastAsia="Times New Roman" w:cstheme="minorHAnsi"/>
          <w:sz w:val="20"/>
          <w:szCs w:val="20"/>
          <w:lang w:eastAsia="fr-FR"/>
        </w:rPr>
        <w:t xml:space="preserve"> privilégie l'investissement dans l'immobilier d'entreprise (locaux de bureaux, d'activités ou de commerces) pour ses perspectives de rendement, en respectant un niveau élevé de diversification des investissements afin de mutualiser les risques. </w:t>
      </w:r>
      <w:r w:rsidRPr="00E10794">
        <w:rPr>
          <w:rFonts w:eastAsia="Times New Roman" w:cstheme="minorHAnsi"/>
          <w:sz w:val="20"/>
          <w:szCs w:val="20"/>
          <w:lang w:eastAsia="fr-FR"/>
        </w:rPr>
        <w:br/>
        <w:t xml:space="preserve">Le patrimoine de la SCPI </w:t>
      </w:r>
      <w:proofErr w:type="spellStart"/>
      <w:r w:rsidRPr="00E10794">
        <w:rPr>
          <w:rFonts w:eastAsia="Times New Roman" w:cstheme="minorHAnsi"/>
          <w:sz w:val="20"/>
          <w:szCs w:val="20"/>
          <w:lang w:eastAsia="fr-FR"/>
        </w:rPr>
        <w:t>Primopierre</w:t>
      </w:r>
      <w:proofErr w:type="spellEnd"/>
      <w:r w:rsidRPr="00E10794">
        <w:rPr>
          <w:rFonts w:eastAsia="Times New Roman" w:cstheme="minorHAnsi"/>
          <w:sz w:val="20"/>
          <w:szCs w:val="20"/>
          <w:lang w:eastAsia="fr-FR"/>
        </w:rPr>
        <w:t xml:space="preserve"> peut être investi sur l'ensemble du territoire français. </w:t>
      </w:r>
      <w:r w:rsidRPr="00E10794">
        <w:rPr>
          <w:rFonts w:eastAsia="Times New Roman" w:cstheme="minorHAnsi"/>
          <w:sz w:val="20"/>
          <w:szCs w:val="20"/>
          <w:lang w:eastAsia="fr-FR"/>
        </w:rPr>
        <w:br/>
        <w:t xml:space="preserve">Les équipes de BNP Paribas REIM assurent la sélection, l'acquisition et la gestion des immeubles ainsi que la détection des opportunités de cession ultérieures. </w:t>
      </w:r>
      <w:r w:rsidRPr="00E10794">
        <w:rPr>
          <w:rFonts w:eastAsia="Times New Roman" w:cstheme="minorHAnsi"/>
          <w:sz w:val="20"/>
          <w:szCs w:val="20"/>
          <w:lang w:eastAsia="fr-FR"/>
        </w:rPr>
        <w:br/>
        <w:t xml:space="preserve">La politique de travaux et d'entretien est suivie par BNP Paribas REIM pour adapter les locaux à l'usage de leurs occupants et en optimiser la location. </w:t>
      </w:r>
      <w:r w:rsidRPr="00E10794">
        <w:rPr>
          <w:rFonts w:eastAsia="Times New Roman" w:cstheme="minorHAnsi"/>
          <w:sz w:val="20"/>
          <w:szCs w:val="20"/>
          <w:lang w:eastAsia="fr-FR"/>
        </w:rPr>
        <w:br/>
      </w:r>
      <w:r w:rsidRPr="00E10794">
        <w:rPr>
          <w:rFonts w:eastAsia="Times New Roman" w:cstheme="minorHAnsi"/>
          <w:sz w:val="20"/>
          <w:szCs w:val="20"/>
          <w:lang w:eastAsia="fr-FR"/>
        </w:rPr>
        <w:br/>
        <w:t xml:space="preserve">Nature </w:t>
      </w:r>
      <w:r w:rsidRPr="00E10794">
        <w:rPr>
          <w:rFonts w:eastAsia="Times New Roman" w:cstheme="minorHAnsi"/>
          <w:sz w:val="20"/>
          <w:szCs w:val="20"/>
          <w:lang w:eastAsia="fr-FR"/>
        </w:rPr>
        <w:br/>
        <w:t xml:space="preserve">SCPI de rendement à capital variable. </w:t>
      </w:r>
      <w:r w:rsidRPr="00E10794">
        <w:rPr>
          <w:rFonts w:eastAsia="Times New Roman" w:cstheme="minorHAnsi"/>
          <w:sz w:val="20"/>
          <w:szCs w:val="20"/>
          <w:lang w:eastAsia="fr-FR"/>
        </w:rPr>
        <w:br/>
      </w:r>
      <w:r w:rsidRPr="00E10794">
        <w:rPr>
          <w:rFonts w:eastAsia="Times New Roman" w:cstheme="minorHAnsi"/>
          <w:sz w:val="20"/>
          <w:szCs w:val="20"/>
          <w:lang w:eastAsia="fr-FR"/>
        </w:rPr>
        <w:br/>
        <w:t xml:space="preserve">Date de création : 20/08/2008 </w:t>
      </w:r>
      <w:r w:rsidRPr="00E10794">
        <w:rPr>
          <w:rFonts w:eastAsia="Times New Roman" w:cstheme="minorHAnsi"/>
          <w:sz w:val="20"/>
          <w:szCs w:val="20"/>
          <w:lang w:eastAsia="fr-FR"/>
        </w:rPr>
        <w:br/>
      </w:r>
      <w:r w:rsidRPr="00E10794">
        <w:rPr>
          <w:rFonts w:eastAsia="Times New Roman" w:cstheme="minorHAnsi"/>
          <w:sz w:val="20"/>
          <w:szCs w:val="20"/>
          <w:lang w:eastAsia="fr-FR"/>
        </w:rPr>
        <w:br/>
      </w:r>
      <w:r w:rsidRPr="00E10794">
        <w:rPr>
          <w:rFonts w:eastAsia="Times New Roman" w:cstheme="minorHAnsi"/>
          <w:sz w:val="20"/>
          <w:szCs w:val="20"/>
          <w:lang w:eastAsia="fr-FR"/>
        </w:rPr>
        <w:lastRenderedPageBreak/>
        <w:t xml:space="preserve">Prix de souscription au 01/01/2010 : 191 € </w:t>
      </w:r>
      <w:r w:rsidRPr="00E10794">
        <w:rPr>
          <w:rFonts w:eastAsia="Times New Roman" w:cstheme="minorHAnsi"/>
          <w:sz w:val="20"/>
          <w:szCs w:val="20"/>
          <w:lang w:eastAsia="fr-FR"/>
        </w:rPr>
        <w:br/>
      </w:r>
      <w:r w:rsidRPr="00E10794">
        <w:rPr>
          <w:rFonts w:eastAsia="Times New Roman" w:cstheme="minorHAnsi"/>
          <w:sz w:val="20"/>
          <w:szCs w:val="20"/>
          <w:lang w:eastAsia="fr-FR"/>
        </w:rPr>
        <w:br/>
        <w:t xml:space="preserve">Investissements déjà réalisés </w:t>
      </w:r>
      <w:r w:rsidRPr="00E10794">
        <w:rPr>
          <w:rFonts w:eastAsia="Times New Roman" w:cstheme="minorHAnsi"/>
          <w:sz w:val="20"/>
          <w:szCs w:val="20"/>
          <w:lang w:eastAsia="fr-FR"/>
        </w:rPr>
        <w:br/>
        <w:t xml:space="preserve">Les premiers investissements sont situés en région parisienne et dans le Sud-ouest. Ils sont en cours d'acquisition sur la base d'un taux de rendement annuel de l'ordre de 8 % bruts. </w:t>
      </w:r>
      <w:r w:rsidRPr="00E10794">
        <w:rPr>
          <w:rFonts w:eastAsia="Times New Roman" w:cstheme="minorHAnsi"/>
          <w:sz w:val="20"/>
          <w:szCs w:val="20"/>
          <w:lang w:eastAsia="fr-FR"/>
        </w:rPr>
        <w:br/>
        <w:t xml:space="preserve">La politique d'achat privilégie des immeubles de bureaux d'une valeur unitaire comprise généralement entre 3 et 10 millions d'euros, en veillant à la diversité géographique (Paris, Ile-de-France, Province) et locative. </w:t>
      </w:r>
      <w:r w:rsidRPr="00E10794">
        <w:rPr>
          <w:rFonts w:eastAsia="Times New Roman" w:cstheme="minorHAnsi"/>
          <w:sz w:val="20"/>
          <w:szCs w:val="20"/>
          <w:lang w:eastAsia="fr-FR"/>
        </w:rPr>
        <w:br/>
      </w:r>
      <w:r w:rsidRPr="00E10794">
        <w:rPr>
          <w:rFonts w:eastAsia="Times New Roman" w:cstheme="minorHAnsi"/>
          <w:sz w:val="20"/>
          <w:szCs w:val="20"/>
          <w:lang w:eastAsia="fr-FR"/>
        </w:rPr>
        <w:br/>
        <w:t xml:space="preserve">Rentabilité 2009 : 6,80% </w:t>
      </w:r>
      <w:r w:rsidRPr="00E10794">
        <w:rPr>
          <w:rFonts w:eastAsia="Times New Roman" w:cstheme="minorHAnsi"/>
          <w:sz w:val="20"/>
          <w:szCs w:val="20"/>
          <w:lang w:eastAsia="fr-FR"/>
        </w:rPr>
        <w:br/>
      </w:r>
      <w:r w:rsidRPr="00E10794">
        <w:rPr>
          <w:rFonts w:eastAsia="Times New Roman" w:cstheme="minorHAnsi"/>
          <w:sz w:val="20"/>
          <w:szCs w:val="20"/>
          <w:lang w:eastAsia="fr-FR"/>
        </w:rPr>
        <w:br/>
        <w:t>Rentabilité prévisionnelle 2010 : entre 5,60 et 5,80%</w:t>
      </w:r>
      <w:r>
        <w:rPr>
          <w:rFonts w:eastAsia="Times New Roman" w:cstheme="minorHAnsi"/>
          <w:sz w:val="20"/>
          <w:szCs w:val="20"/>
          <w:lang w:eastAsia="fr-FR"/>
        </w:rPr>
        <w:t xml:space="preserve"> </w:t>
      </w:r>
    </w:p>
    <w:p w:rsidR="00E10794" w:rsidRDefault="00E10794" w:rsidP="00E10794">
      <w:pPr>
        <w:spacing w:after="0" w:line="240" w:lineRule="auto"/>
        <w:rPr>
          <w:rFonts w:eastAsia="Times New Roman" w:cstheme="minorHAnsi"/>
          <w:sz w:val="20"/>
          <w:szCs w:val="20"/>
          <w:lang w:eastAsia="fr-FR"/>
        </w:rPr>
      </w:pPr>
      <w:r w:rsidRPr="00E10794">
        <w:rPr>
          <w:rFonts w:eastAsia="Times New Roman" w:cstheme="minorHAnsi"/>
          <w:sz w:val="20"/>
          <w:szCs w:val="20"/>
          <w:lang w:eastAsia="fr-FR"/>
        </w:rPr>
        <w:br/>
        <w:t>Minimum de souscription : 10 parts</w:t>
      </w:r>
      <w:r>
        <w:rPr>
          <w:rFonts w:eastAsia="Times New Roman" w:cstheme="minorHAnsi"/>
          <w:sz w:val="20"/>
          <w:szCs w:val="20"/>
          <w:lang w:eastAsia="fr-FR"/>
        </w:rPr>
        <w:t xml:space="preserve"> </w:t>
      </w:r>
      <w:r w:rsidRPr="00E10794">
        <w:rPr>
          <w:rFonts w:eastAsia="Times New Roman" w:cstheme="minorHAnsi"/>
          <w:sz w:val="20"/>
          <w:szCs w:val="20"/>
          <w:lang w:eastAsia="fr-FR"/>
        </w:rPr>
        <w:br/>
      </w:r>
    </w:p>
    <w:p w:rsidR="00C32BBC" w:rsidRPr="00E10794" w:rsidRDefault="00E10794" w:rsidP="00E10794">
      <w:pPr>
        <w:spacing w:after="0" w:line="240" w:lineRule="auto"/>
        <w:rPr>
          <w:rFonts w:eastAsia="Times New Roman" w:cstheme="minorHAnsi"/>
          <w:sz w:val="20"/>
          <w:szCs w:val="20"/>
          <w:lang w:eastAsia="fr-FR"/>
        </w:rPr>
      </w:pPr>
      <w:r w:rsidRPr="00E10794">
        <w:rPr>
          <w:rFonts w:eastAsia="Times New Roman" w:cstheme="minorHAnsi"/>
          <w:sz w:val="20"/>
          <w:szCs w:val="20"/>
          <w:lang w:eastAsia="fr-FR"/>
        </w:rPr>
        <w:t xml:space="preserve">Jouissance de parts : </w:t>
      </w:r>
      <w:r w:rsidRPr="00E10794">
        <w:rPr>
          <w:rFonts w:eastAsia="Times New Roman" w:cstheme="minorHAnsi"/>
          <w:sz w:val="20"/>
          <w:szCs w:val="20"/>
          <w:lang w:eastAsia="fr-FR"/>
        </w:rPr>
        <w:br/>
        <w:t>Les parts souscrites au cours d'un mois donné portent jouissance le 1er jour du 3ème mois qui suit la souscription et son règlement.</w:t>
      </w:r>
    </w:p>
    <w:sectPr w:rsidR="00C32BBC" w:rsidRPr="00E10794" w:rsidSect="00E10794">
      <w:pgSz w:w="11906" w:h="16838"/>
      <w:pgMar w:top="1417" w:right="1417" w:bottom="1417" w:left="141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10794"/>
    <w:rsid w:val="002D5D91"/>
    <w:rsid w:val="00C32BBC"/>
    <w:rsid w:val="00D95664"/>
    <w:rsid w:val="00E1079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z-Hautduformulaire">
    <w:name w:val="HTML Top of Form"/>
    <w:basedOn w:val="Normal"/>
    <w:next w:val="Normal"/>
    <w:link w:val="z-HautduformulaireCar"/>
    <w:hidden/>
    <w:uiPriority w:val="99"/>
    <w:semiHidden/>
    <w:unhideWhenUsed/>
    <w:rsid w:val="00E10794"/>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E10794"/>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E10794"/>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E10794"/>
    <w:rPr>
      <w:rFonts w:ascii="Arial" w:eastAsia="Times New Roman" w:hAnsi="Arial" w:cs="Arial"/>
      <w:vanish/>
      <w:sz w:val="16"/>
      <w:szCs w:val="16"/>
      <w:lang w:eastAsia="fr-FR"/>
    </w:rPr>
  </w:style>
  <w:style w:type="character" w:customStyle="1" w:styleId="texteor">
    <w:name w:val="texteor"/>
    <w:basedOn w:val="Policepardfaut"/>
    <w:rsid w:val="00E10794"/>
  </w:style>
  <w:style w:type="paragraph" w:styleId="Textedebulles">
    <w:name w:val="Balloon Text"/>
    <w:basedOn w:val="Normal"/>
    <w:link w:val="TextedebullesCar"/>
    <w:uiPriority w:val="99"/>
    <w:semiHidden/>
    <w:unhideWhenUsed/>
    <w:rsid w:val="00E107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07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974396">
      <w:bodyDiv w:val="1"/>
      <w:marLeft w:val="0"/>
      <w:marRight w:val="0"/>
      <w:marTop w:val="0"/>
      <w:marBottom w:val="0"/>
      <w:divBdr>
        <w:top w:val="none" w:sz="0" w:space="0" w:color="auto"/>
        <w:left w:val="none" w:sz="0" w:space="0" w:color="auto"/>
        <w:bottom w:val="none" w:sz="0" w:space="0" w:color="auto"/>
        <w:right w:val="none" w:sz="0" w:space="0" w:color="auto"/>
      </w:divBdr>
      <w:divsChild>
        <w:div w:id="228661016">
          <w:marLeft w:val="0"/>
          <w:marRight w:val="0"/>
          <w:marTop w:val="0"/>
          <w:marBottom w:val="0"/>
          <w:divBdr>
            <w:top w:val="none" w:sz="0" w:space="0" w:color="auto"/>
            <w:left w:val="none" w:sz="0" w:space="0" w:color="auto"/>
            <w:bottom w:val="none" w:sz="0" w:space="0" w:color="auto"/>
            <w:right w:val="none" w:sz="0" w:space="0" w:color="auto"/>
          </w:divBdr>
          <w:divsChild>
            <w:div w:id="677125869">
              <w:marLeft w:val="0"/>
              <w:marRight w:val="0"/>
              <w:marTop w:val="0"/>
              <w:marBottom w:val="0"/>
              <w:divBdr>
                <w:top w:val="none" w:sz="0" w:space="0" w:color="auto"/>
                <w:left w:val="none" w:sz="0" w:space="0" w:color="auto"/>
                <w:bottom w:val="none" w:sz="0" w:space="0" w:color="auto"/>
                <w:right w:val="none" w:sz="0" w:space="0" w:color="auto"/>
              </w:divBdr>
              <w:divsChild>
                <w:div w:id="1053235806">
                  <w:marLeft w:val="0"/>
                  <w:marRight w:val="0"/>
                  <w:marTop w:val="0"/>
                  <w:marBottom w:val="0"/>
                  <w:divBdr>
                    <w:top w:val="none" w:sz="0" w:space="0" w:color="auto"/>
                    <w:left w:val="none" w:sz="0" w:space="0" w:color="auto"/>
                    <w:bottom w:val="none" w:sz="0" w:space="0" w:color="auto"/>
                    <w:right w:val="none" w:sz="0" w:space="0" w:color="auto"/>
                  </w:divBdr>
                </w:div>
                <w:div w:id="1112285109">
                  <w:marLeft w:val="0"/>
                  <w:marRight w:val="0"/>
                  <w:marTop w:val="0"/>
                  <w:marBottom w:val="0"/>
                  <w:divBdr>
                    <w:top w:val="none" w:sz="0" w:space="0" w:color="auto"/>
                    <w:left w:val="none" w:sz="0" w:space="0" w:color="auto"/>
                    <w:bottom w:val="none" w:sz="0" w:space="0" w:color="auto"/>
                    <w:right w:val="none" w:sz="0" w:space="0" w:color="auto"/>
                  </w:divBdr>
                  <w:divsChild>
                    <w:div w:id="577524350">
                      <w:marLeft w:val="0"/>
                      <w:marRight w:val="0"/>
                      <w:marTop w:val="0"/>
                      <w:marBottom w:val="0"/>
                      <w:divBdr>
                        <w:top w:val="none" w:sz="0" w:space="0" w:color="auto"/>
                        <w:left w:val="none" w:sz="0" w:space="0" w:color="auto"/>
                        <w:bottom w:val="none" w:sz="0" w:space="0" w:color="auto"/>
                        <w:right w:val="none" w:sz="0" w:space="0" w:color="auto"/>
                      </w:divBdr>
                    </w:div>
                  </w:divsChild>
                </w:div>
                <w:div w:id="20524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1720</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2010-12-01T17:19:00Z</dcterms:created>
  <dcterms:modified xsi:type="dcterms:W3CDTF">2010-12-01T17:21:00Z</dcterms:modified>
</cp:coreProperties>
</file>