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6F" w:rsidRPr="005D4E6F" w:rsidRDefault="005D4E6F" w:rsidP="005D4E6F">
      <w:pPr>
        <w:spacing w:line="240" w:lineRule="auto"/>
        <w:rPr>
          <w:b/>
          <w:sz w:val="20"/>
          <w:szCs w:val="20"/>
        </w:rPr>
      </w:pPr>
      <w:r w:rsidRPr="005D4E6F">
        <w:rPr>
          <w:b/>
          <w:sz w:val="20"/>
          <w:szCs w:val="20"/>
        </w:rPr>
        <w:t>Pierre 48 - PAREF GESTION</w:t>
      </w:r>
    </w:p>
    <w:p w:rsidR="005D4E6F" w:rsidRDefault="005D4E6F" w:rsidP="005D4E6F">
      <w:pPr>
        <w:spacing w:line="240" w:lineRule="auto"/>
        <w:rPr>
          <w:sz w:val="20"/>
          <w:szCs w:val="20"/>
        </w:rPr>
      </w:pPr>
      <w:r w:rsidRPr="005D4E6F">
        <w:rPr>
          <w:sz w:val="20"/>
          <w:szCs w:val="20"/>
        </w:rPr>
        <w:t xml:space="preserve">La société PAREF GESTION, au capital de 253 440 €, gère 3 SCPI dont Pierre 48, créée en septembre 1996. </w:t>
      </w:r>
      <w:r w:rsidRPr="005D4E6F">
        <w:rPr>
          <w:sz w:val="20"/>
          <w:szCs w:val="20"/>
        </w:rPr>
        <w:br/>
        <w:t xml:space="preserve">L'objectif de la SCPI est de constituer un patrimoine immobilier composé d'appartements soumis à la loi de 1948 situés principalement à Paris. Ces appartements sont acquis avec une décote qu'ils perdent automatiquement lorsqu'ils se libèrent. </w:t>
      </w:r>
      <w:r w:rsidRPr="005D4E6F">
        <w:rPr>
          <w:sz w:val="20"/>
          <w:szCs w:val="20"/>
        </w:rPr>
        <w:br/>
        <w:t>Le stock d'appartements soumis à la loi de 1948 se réduisant peu à peu, la SCPI Pierre 48 diversifie ses investissements sur des biens en viager, des appartements en nue propriété, en loi de 1989 non libérables et sur des immeubles conventionnés</w:t>
      </w:r>
      <w:r>
        <w:rPr>
          <w:sz w:val="20"/>
          <w:szCs w:val="20"/>
        </w:rPr>
        <w:t>.</w:t>
      </w:r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</w:r>
      <w:r w:rsidRPr="005D4E6F">
        <w:rPr>
          <w:sz w:val="20"/>
          <w:szCs w:val="20"/>
        </w:rPr>
        <w:br/>
        <w:t>Elle permet de défiscaliser les revenus fonciers et bénéficie d'un potentiel de plus-value remarquable. Elle s'adresse tout particulièrement aux personnes fortement imposées à la recherche d'un placement alliant rentabilité et économie fiscale. La SCPI Pierre 48 a pour objectif d'investir dans des appartements soumis à la loi d</w:t>
      </w:r>
      <w:r>
        <w:rPr>
          <w:sz w:val="20"/>
          <w:szCs w:val="20"/>
        </w:rPr>
        <w:t xml:space="preserve">e 1948 ou des biens assimilés. </w:t>
      </w:r>
      <w:r w:rsidRPr="005D4E6F">
        <w:rPr>
          <w:sz w:val="16"/>
          <w:szCs w:val="16"/>
        </w:rPr>
        <w:br/>
      </w:r>
      <w:r>
        <w:rPr>
          <w:rStyle w:val="texteor"/>
          <w:sz w:val="16"/>
          <w:szCs w:val="16"/>
        </w:rPr>
        <w:br/>
      </w:r>
      <w:r w:rsidRPr="005D4E6F">
        <w:rPr>
          <w:rStyle w:val="texteor"/>
          <w:sz w:val="20"/>
          <w:szCs w:val="20"/>
        </w:rPr>
        <w:t>Nature : SCPI de capitalisation</w:t>
      </w:r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  <w:t>Surface totale au 31/12/2</w:t>
      </w:r>
      <w:r>
        <w:rPr>
          <w:sz w:val="20"/>
          <w:szCs w:val="20"/>
        </w:rPr>
        <w:t xml:space="preserve">009 : 52 247 m2 </w:t>
      </w:r>
      <w:r>
        <w:rPr>
          <w:sz w:val="20"/>
          <w:szCs w:val="20"/>
        </w:rPr>
        <w:br/>
        <w:t xml:space="preserve">945 immeubles </w:t>
      </w:r>
      <w:r w:rsidRPr="005D4E6F">
        <w:rPr>
          <w:sz w:val="20"/>
          <w:szCs w:val="20"/>
        </w:rPr>
        <w:br/>
      </w:r>
      <w:r w:rsidRPr="005D4E6F">
        <w:rPr>
          <w:rStyle w:val="texteor"/>
          <w:b/>
          <w:sz w:val="20"/>
          <w:szCs w:val="20"/>
        </w:rPr>
        <w:t>Acquisition récente :</w:t>
      </w:r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  <w:t xml:space="preserve">- Levallois (92300) - Rue du Président Wilson - 11 lots - 957 m² </w:t>
      </w:r>
      <w:r w:rsidRPr="005D4E6F">
        <w:rPr>
          <w:sz w:val="20"/>
          <w:szCs w:val="20"/>
        </w:rPr>
        <w:br/>
        <w:t xml:space="preserve">- Montrouge (92120) - Rue du Docteur </w:t>
      </w:r>
      <w:proofErr w:type="spellStart"/>
      <w:r w:rsidRPr="005D4E6F">
        <w:rPr>
          <w:sz w:val="20"/>
          <w:szCs w:val="20"/>
        </w:rPr>
        <w:t>Lannelongue</w:t>
      </w:r>
      <w:proofErr w:type="spellEnd"/>
      <w:r w:rsidRPr="005D4E6F">
        <w:rPr>
          <w:sz w:val="20"/>
          <w:szCs w:val="20"/>
        </w:rPr>
        <w:t xml:space="preserve"> - 14 lots - 822 m² </w:t>
      </w:r>
      <w:r w:rsidRPr="005D4E6F">
        <w:rPr>
          <w:sz w:val="20"/>
          <w:szCs w:val="20"/>
        </w:rPr>
        <w:br/>
        <w:t xml:space="preserve">- Elancourt (78990) - Place du Général de Gaulle - 30 lots - 2 325 m² </w:t>
      </w:r>
      <w:r w:rsidRPr="005D4E6F">
        <w:rPr>
          <w:sz w:val="20"/>
          <w:szCs w:val="20"/>
        </w:rPr>
        <w:br/>
        <w:t xml:space="preserve">- Versailles (78000) - Rue du Pont Colbert - 14 lots - 833 m² </w:t>
      </w:r>
      <w:r w:rsidRPr="005D4E6F">
        <w:rPr>
          <w:sz w:val="20"/>
          <w:szCs w:val="20"/>
        </w:rPr>
        <w:br/>
      </w:r>
      <w:r w:rsidRPr="005D4E6F">
        <w:rPr>
          <w:sz w:val="20"/>
          <w:szCs w:val="20"/>
        </w:rPr>
        <w:br/>
      </w:r>
      <w:r w:rsidRPr="005D4E6F">
        <w:rPr>
          <w:rStyle w:val="texteor"/>
          <w:b/>
          <w:sz w:val="20"/>
          <w:szCs w:val="20"/>
        </w:rPr>
        <w:t>Prix de souscription au 01/10/2010 :</w:t>
      </w:r>
      <w:r w:rsidRPr="005D4E6F">
        <w:rPr>
          <w:rStyle w:val="texteor"/>
          <w:sz w:val="20"/>
          <w:szCs w:val="20"/>
        </w:rPr>
        <w:t xml:space="preserve"> 949,00 €</w:t>
      </w:r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  <w:t xml:space="preserve">Le prix de souscription augmentera de 4 € au début de chaque mois jusqu'à nouvel avis. </w:t>
      </w:r>
      <w:r w:rsidRPr="005D4E6F">
        <w:rPr>
          <w:sz w:val="20"/>
          <w:szCs w:val="20"/>
        </w:rPr>
        <w:br/>
      </w:r>
      <w:r w:rsidRPr="005D4E6F">
        <w:rPr>
          <w:sz w:val="16"/>
          <w:szCs w:val="16"/>
        </w:rPr>
        <w:br/>
      </w:r>
      <w:r w:rsidRPr="005D4E6F">
        <w:rPr>
          <w:rStyle w:val="texteor"/>
          <w:sz w:val="20"/>
          <w:szCs w:val="20"/>
        </w:rPr>
        <w:t>Plus-value :</w:t>
      </w:r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  <w:t xml:space="preserve">- 2000 : + 12,50 % </w:t>
      </w:r>
      <w:r w:rsidRPr="005D4E6F">
        <w:rPr>
          <w:sz w:val="20"/>
          <w:szCs w:val="20"/>
        </w:rPr>
        <w:br/>
        <w:t xml:space="preserve">- 2001 : + 11,11 % </w:t>
      </w:r>
      <w:r w:rsidRPr="005D4E6F">
        <w:rPr>
          <w:sz w:val="20"/>
          <w:szCs w:val="20"/>
        </w:rPr>
        <w:br/>
        <w:t xml:space="preserve">- 2002 : + 6,00 % </w:t>
      </w:r>
      <w:r w:rsidRPr="005D4E6F">
        <w:rPr>
          <w:sz w:val="20"/>
          <w:szCs w:val="20"/>
        </w:rPr>
        <w:br/>
        <w:t xml:space="preserve">- 2003 : + 8,49 % </w:t>
      </w:r>
      <w:r w:rsidRPr="005D4E6F">
        <w:rPr>
          <w:sz w:val="20"/>
          <w:szCs w:val="20"/>
        </w:rPr>
        <w:br/>
        <w:t xml:space="preserve">- 2004 : + 13,04 % </w:t>
      </w:r>
      <w:r w:rsidRPr="005D4E6F">
        <w:rPr>
          <w:sz w:val="20"/>
          <w:szCs w:val="20"/>
        </w:rPr>
        <w:br/>
        <w:t xml:space="preserve">- 2005 : + 12,77 % </w:t>
      </w:r>
      <w:r w:rsidRPr="005D4E6F">
        <w:rPr>
          <w:sz w:val="20"/>
          <w:szCs w:val="20"/>
        </w:rPr>
        <w:br/>
        <w:t xml:space="preserve">- 2006 : + 20,05 % </w:t>
      </w:r>
      <w:r w:rsidRPr="005D4E6F">
        <w:rPr>
          <w:sz w:val="20"/>
          <w:szCs w:val="20"/>
        </w:rPr>
        <w:br/>
        <w:t xml:space="preserve">- 2007 : + 7,95 % </w:t>
      </w:r>
      <w:r w:rsidRPr="005D4E6F">
        <w:rPr>
          <w:sz w:val="20"/>
          <w:szCs w:val="20"/>
        </w:rPr>
        <w:br/>
        <w:t xml:space="preserve">- 2008 : + 3,79 % </w:t>
      </w:r>
      <w:r w:rsidRPr="005D4E6F">
        <w:rPr>
          <w:sz w:val="20"/>
          <w:szCs w:val="20"/>
        </w:rPr>
        <w:br/>
        <w:t xml:space="preserve">- 2009 : - 3,35 % </w:t>
      </w:r>
      <w:r w:rsidRPr="005D4E6F">
        <w:rPr>
          <w:sz w:val="20"/>
          <w:szCs w:val="20"/>
        </w:rPr>
        <w:br/>
        <w:t xml:space="preserve">- 2010 : + 9,10 % (estimation) </w:t>
      </w:r>
      <w:r w:rsidRPr="005D4E6F">
        <w:rPr>
          <w:sz w:val="20"/>
          <w:szCs w:val="20"/>
        </w:rPr>
        <w:br/>
      </w:r>
    </w:p>
    <w:p w:rsidR="00C32BBC" w:rsidRPr="005D4E6F" w:rsidRDefault="005D4E6F" w:rsidP="005D4E6F">
      <w:pPr>
        <w:spacing w:line="240" w:lineRule="auto"/>
        <w:rPr>
          <w:sz w:val="16"/>
          <w:szCs w:val="16"/>
        </w:rPr>
      </w:pPr>
      <w:r w:rsidRPr="005D4E6F">
        <w:rPr>
          <w:sz w:val="20"/>
          <w:szCs w:val="20"/>
        </w:rPr>
        <w:lastRenderedPageBreak/>
        <w:br/>
      </w:r>
      <w:r w:rsidRPr="005D4E6F">
        <w:rPr>
          <w:rStyle w:val="texteor"/>
          <w:sz w:val="20"/>
          <w:szCs w:val="20"/>
        </w:rPr>
        <w:t>Minimum de souscription : 5 parts</w:t>
      </w:r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</w:r>
      <w:r w:rsidRPr="005D4E6F">
        <w:rPr>
          <w:sz w:val="16"/>
          <w:szCs w:val="16"/>
        </w:rPr>
        <w:br/>
      </w:r>
      <w:r w:rsidRPr="005D4E6F">
        <w:rPr>
          <w:rStyle w:val="texteor"/>
          <w:sz w:val="20"/>
          <w:szCs w:val="20"/>
        </w:rPr>
        <w:t>Jouissance de parts :</w:t>
      </w:r>
      <w:r w:rsidRPr="005D4E6F">
        <w:rPr>
          <w:sz w:val="20"/>
          <w:szCs w:val="20"/>
        </w:rPr>
        <w:t xml:space="preserve">- Souscription : le premier jour du deuxième mois suivant la réception intégrale des fonds par la société. </w:t>
      </w:r>
      <w:r w:rsidRPr="005D4E6F">
        <w:rPr>
          <w:sz w:val="20"/>
          <w:szCs w:val="20"/>
        </w:rPr>
        <w:br/>
      </w:r>
      <w:r w:rsidRPr="005D4E6F">
        <w:rPr>
          <w:sz w:val="20"/>
          <w:szCs w:val="20"/>
        </w:rPr>
        <w:br/>
      </w:r>
      <w:r w:rsidRPr="005D4E6F">
        <w:rPr>
          <w:rStyle w:val="texteor"/>
          <w:b/>
          <w:sz w:val="20"/>
          <w:szCs w:val="20"/>
        </w:rPr>
        <w:t>Conditions de souscription :</w:t>
      </w:r>
      <w:r w:rsidRPr="005D4E6F">
        <w:rPr>
          <w:b/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  <w:t>Le bulletin de souscription doit parvenir à la société de gestion,</w:t>
      </w:r>
      <w:r>
        <w:rPr>
          <w:sz w:val="20"/>
          <w:szCs w:val="20"/>
        </w:rPr>
        <w:t xml:space="preserve"> complété et signé, accompagné :</w:t>
      </w:r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  <w:t xml:space="preserve">- d'un chèque du montant de la souscription en cas de paiement comptant </w:t>
      </w:r>
      <w:r w:rsidRPr="005D4E6F">
        <w:rPr>
          <w:sz w:val="20"/>
          <w:szCs w:val="20"/>
        </w:rPr>
        <w:br/>
        <w:t xml:space="preserve">ou </w:t>
      </w:r>
      <w:r w:rsidRPr="005D4E6F">
        <w:rPr>
          <w:sz w:val="20"/>
          <w:szCs w:val="20"/>
        </w:rPr>
        <w:br/>
        <w:t xml:space="preserve">- d'un chèque de 25% à titre de réservation (non encaissé) en cas de recours au crédit, le crédit devant être libéré avant la fin du mois suivant la date de réception du bulletin de souscription. A défaut de libération dans ce délai, la souscription pourra être annulée par la société de gestion, à charge pour elle de restituer au souscripteur le montant des versements déjà effectués, sans intérêts et sans frais </w:t>
      </w:r>
      <w:r w:rsidRPr="005D4E6F">
        <w:rPr>
          <w:sz w:val="20"/>
          <w:szCs w:val="20"/>
        </w:rPr>
        <w:br/>
        <w:t xml:space="preserve">- une copie de l'offre de prêt </w:t>
      </w:r>
      <w:r w:rsidRPr="005D4E6F">
        <w:rPr>
          <w:sz w:val="20"/>
          <w:szCs w:val="20"/>
        </w:rPr>
        <w:br/>
      </w:r>
      <w:r w:rsidRPr="005D4E6F">
        <w:rPr>
          <w:sz w:val="20"/>
          <w:szCs w:val="20"/>
        </w:rPr>
        <w:br/>
        <w:t xml:space="preserve">ainsi que les documents suivants : </w:t>
      </w:r>
      <w:r w:rsidRPr="005D4E6F">
        <w:rPr>
          <w:sz w:val="20"/>
          <w:szCs w:val="20"/>
        </w:rPr>
        <w:br/>
        <w:t xml:space="preserve">- CNI en cours de validité </w:t>
      </w:r>
      <w:r w:rsidRPr="005D4E6F">
        <w:rPr>
          <w:sz w:val="20"/>
          <w:szCs w:val="20"/>
        </w:rPr>
        <w:br/>
        <w:t xml:space="preserve">- justificatif de domicile de moins de 3 mois </w:t>
      </w:r>
      <w:r w:rsidRPr="005D4E6F">
        <w:rPr>
          <w:sz w:val="20"/>
          <w:szCs w:val="20"/>
        </w:rPr>
        <w:br/>
        <w:t xml:space="preserve">- RIB </w:t>
      </w:r>
      <w:r w:rsidRPr="005D4E6F">
        <w:rPr>
          <w:sz w:val="20"/>
          <w:szCs w:val="20"/>
        </w:rPr>
        <w:br/>
      </w:r>
      <w:r w:rsidRPr="005D4E6F">
        <w:rPr>
          <w:sz w:val="20"/>
          <w:szCs w:val="20"/>
        </w:rPr>
        <w:br/>
        <w:t xml:space="preserve">Pour les personnes morales : </w:t>
      </w:r>
      <w:r w:rsidRPr="005D4E6F">
        <w:rPr>
          <w:sz w:val="20"/>
          <w:szCs w:val="20"/>
        </w:rPr>
        <w:br/>
        <w:t xml:space="preserve">- </w:t>
      </w:r>
      <w:proofErr w:type="spellStart"/>
      <w:r w:rsidRPr="005D4E6F">
        <w:rPr>
          <w:sz w:val="20"/>
          <w:szCs w:val="20"/>
        </w:rPr>
        <w:t>kbis</w:t>
      </w:r>
      <w:proofErr w:type="spellEnd"/>
      <w:r w:rsidRPr="005D4E6F">
        <w:rPr>
          <w:sz w:val="20"/>
          <w:szCs w:val="20"/>
        </w:rPr>
        <w:t xml:space="preserve"> </w:t>
      </w:r>
      <w:r w:rsidRPr="005D4E6F">
        <w:rPr>
          <w:sz w:val="20"/>
          <w:szCs w:val="20"/>
        </w:rPr>
        <w:br/>
        <w:t xml:space="preserve">- statuts SCI </w:t>
      </w:r>
      <w:r w:rsidRPr="005D4E6F">
        <w:rPr>
          <w:sz w:val="20"/>
          <w:szCs w:val="20"/>
        </w:rPr>
        <w:br/>
        <w:t>- CNI en cours de validité du gérant</w:t>
      </w:r>
    </w:p>
    <w:sectPr w:rsidR="00C32BBC" w:rsidRPr="005D4E6F" w:rsidSect="005D4E6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4E6F"/>
    <w:rsid w:val="00110A5B"/>
    <w:rsid w:val="005D4E6F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or">
    <w:name w:val="texteor"/>
    <w:basedOn w:val="Policepardfaut"/>
    <w:rsid w:val="005D4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2010-12-01T16:59:00Z</dcterms:created>
  <dcterms:modified xsi:type="dcterms:W3CDTF">2010-12-01T17:07:00Z</dcterms:modified>
</cp:coreProperties>
</file>