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E60" w:rsidRDefault="00CF7E60" w:rsidP="00CF7E60">
      <w:pPr>
        <w:jc w:val="both"/>
      </w:pPr>
      <w:r>
        <w:t>Chère Madame Revellat,</w:t>
      </w:r>
    </w:p>
    <w:p w:rsidR="00CF7E60" w:rsidRDefault="00CF7E60" w:rsidP="00CF7E60">
      <w:pPr>
        <w:jc w:val="both"/>
      </w:pPr>
      <w:r>
        <w:t> </w:t>
      </w:r>
    </w:p>
    <w:p w:rsidR="00CF7E60" w:rsidRDefault="00CF7E60" w:rsidP="00CF7E60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CF7E60" w:rsidRDefault="00CF7E60" w:rsidP="00CF7E60">
      <w:pPr>
        <w:pStyle w:val="NormalWeb"/>
      </w:pPr>
      <w:r>
        <w:t xml:space="preserve">Tout d’abord je vous remercie d’avoir pris le temps de discuter avec moi de la possibilité de renouveler votre contrat chez </w:t>
      </w:r>
      <w:proofErr w:type="spellStart"/>
      <w:r>
        <w:rPr>
          <w:color w:val="FF0000"/>
        </w:rPr>
        <w:t>Creditsafe</w:t>
      </w:r>
      <w:proofErr w:type="spellEnd"/>
      <w:r>
        <w:t>.</w:t>
      </w:r>
    </w:p>
    <w:p w:rsidR="00CF7E60" w:rsidRDefault="00CF7E60" w:rsidP="00CF7E60">
      <w:pPr>
        <w:pStyle w:val="NormalWeb"/>
      </w:pPr>
      <w:r>
        <w:t> </w:t>
      </w:r>
    </w:p>
    <w:p w:rsidR="00CF7E60" w:rsidRDefault="00CF7E60" w:rsidP="00CF7E60">
      <w:pPr>
        <w:pStyle w:val="NormalWeb"/>
      </w:pPr>
      <w:r>
        <w:t>Suite à notre conversation téléphonique, je vous fais les propositions suivantes valables jusqu'au 15 septembre 2010.</w:t>
      </w:r>
    </w:p>
    <w:p w:rsidR="00CF7E60" w:rsidRDefault="00CF7E60" w:rsidP="00CF7E60">
      <w:pPr>
        <w:pStyle w:val="NormalWeb"/>
      </w:pPr>
      <w:r>
        <w:t> </w:t>
      </w:r>
    </w:p>
    <w:p w:rsidR="00CF7E60" w:rsidRDefault="00CF7E60" w:rsidP="00CF7E60">
      <w:r>
        <w:rPr>
          <w:rFonts w:ascii="Calibri" w:hAnsi="Calibri" w:cs="Calibri"/>
          <w:b/>
          <w:bCs/>
        </w:rPr>
        <w:t>Pack Business Initial :</w:t>
      </w:r>
    </w:p>
    <w:p w:rsidR="00CF7E60" w:rsidRDefault="00CF7E60" w:rsidP="00CF7E60">
      <w:r>
        <w:rPr>
          <w:rFonts w:ascii="Calibri" w:hAnsi="Calibri" w:cs="Calibri"/>
        </w:rPr>
        <w:t> </w:t>
      </w:r>
    </w:p>
    <w:p w:rsidR="00CF7E60" w:rsidRDefault="00CF7E60" w:rsidP="00CF7E60">
      <w:pPr>
        <w:pStyle w:val="Paragraphedeliste"/>
        <w:ind w:left="720" w:hanging="360"/>
      </w:pPr>
      <w:r>
        <w:rPr>
          <w:rFonts w:ascii="Calibri" w:eastAsia="Calibri" w:hAnsi="Calibri" w:cs="Calibri"/>
        </w:rPr>
        <w:t>-</w:t>
      </w:r>
      <w:r>
        <w:rPr>
          <w:rFonts w:eastAsia="Calibri"/>
          <w:sz w:val="14"/>
          <w:szCs w:val="14"/>
        </w:rPr>
        <w:t xml:space="preserve">          </w:t>
      </w:r>
      <w:r>
        <w:rPr>
          <w:rStyle w:val="lev"/>
          <w:rFonts w:eastAsia="Calibri"/>
        </w:rPr>
        <w:t xml:space="preserve">300 </w:t>
      </w:r>
      <w:r>
        <w:rPr>
          <w:rFonts w:ascii="Calibri" w:hAnsi="Calibri" w:cs="Calibri"/>
        </w:rPr>
        <w:t>Rapports d’informations commerciales et financières pour la France</w:t>
      </w:r>
    </w:p>
    <w:p w:rsidR="00CF7E60" w:rsidRDefault="00CF7E60" w:rsidP="00CF7E60">
      <w:pPr>
        <w:pStyle w:val="Paragraphedeliste"/>
        <w:ind w:left="720" w:hanging="360"/>
      </w:pPr>
      <w:r>
        <w:rPr>
          <w:rFonts w:ascii="Calibri" w:eastAsia="Calibri" w:hAnsi="Calibri" w:cs="Calibri"/>
        </w:rPr>
        <w:t>-</w:t>
      </w:r>
      <w:r>
        <w:rPr>
          <w:rFonts w:eastAsia="Calibri"/>
          <w:sz w:val="14"/>
          <w:szCs w:val="14"/>
        </w:rPr>
        <w:t xml:space="preserve">          </w:t>
      </w:r>
      <w:r>
        <w:rPr>
          <w:rFonts w:ascii="Calibri" w:hAnsi="Calibri" w:cs="Calibri"/>
        </w:rPr>
        <w:t>20 surveillances complètes pour la France</w:t>
      </w:r>
    </w:p>
    <w:p w:rsidR="00CF7E60" w:rsidRDefault="00CF7E60" w:rsidP="00CF7E60">
      <w:pPr>
        <w:pStyle w:val="Paragraphedeliste"/>
        <w:ind w:left="720" w:hanging="360"/>
      </w:pPr>
      <w:r>
        <w:rPr>
          <w:rFonts w:ascii="Calibri" w:eastAsia="Calibri" w:hAnsi="Calibri" w:cs="Calibri"/>
        </w:rPr>
        <w:t>-</w:t>
      </w:r>
      <w:r>
        <w:rPr>
          <w:rFonts w:eastAsia="Calibri"/>
          <w:sz w:val="14"/>
          <w:szCs w:val="14"/>
        </w:rPr>
        <w:t xml:space="preserve">          </w:t>
      </w:r>
      <w:proofErr w:type="spellStart"/>
      <w:r>
        <w:rPr>
          <w:rFonts w:ascii="Calibri" w:hAnsi="Calibri" w:cs="Calibri"/>
        </w:rPr>
        <w:t>Debt</w:t>
      </w:r>
      <w:proofErr w:type="spellEnd"/>
      <w:r>
        <w:rPr>
          <w:rFonts w:ascii="Calibri" w:hAnsi="Calibri" w:cs="Calibri"/>
        </w:rPr>
        <w:t xml:space="preserve"> Score</w:t>
      </w:r>
    </w:p>
    <w:p w:rsidR="00CF7E60" w:rsidRDefault="00CF7E60" w:rsidP="00CF7E60">
      <w:pPr>
        <w:pStyle w:val="Paragraphedeliste"/>
        <w:ind w:left="720" w:hanging="360"/>
      </w:pPr>
      <w:r>
        <w:rPr>
          <w:rFonts w:ascii="Calibri" w:eastAsia="Calibri" w:hAnsi="Calibri" w:cs="Calibri"/>
        </w:rPr>
        <w:t>-</w:t>
      </w:r>
      <w:r>
        <w:rPr>
          <w:rFonts w:eastAsia="Calibri"/>
          <w:sz w:val="14"/>
          <w:szCs w:val="14"/>
        </w:rPr>
        <w:t xml:space="preserve">          </w:t>
      </w:r>
      <w:r>
        <w:rPr>
          <w:rFonts w:ascii="Calibri" w:hAnsi="Calibri" w:cs="Calibri"/>
        </w:rPr>
        <w:t>Media Solution</w:t>
      </w:r>
    </w:p>
    <w:p w:rsidR="00CF7E60" w:rsidRDefault="00CF7E60" w:rsidP="00CF7E60">
      <w:pPr>
        <w:pStyle w:val="Paragraphedeliste"/>
        <w:ind w:left="720" w:hanging="360"/>
      </w:pPr>
      <w:r>
        <w:rPr>
          <w:rFonts w:ascii="Calibri" w:eastAsia="Calibri" w:hAnsi="Calibri" w:cs="Calibri"/>
        </w:rPr>
        <w:t>-</w:t>
      </w:r>
      <w:r>
        <w:rPr>
          <w:rFonts w:eastAsia="Calibri"/>
          <w:sz w:val="14"/>
          <w:szCs w:val="14"/>
        </w:rPr>
        <w:t xml:space="preserve">          </w:t>
      </w:r>
      <w:r>
        <w:rPr>
          <w:rFonts w:ascii="Calibri" w:hAnsi="Calibri" w:cs="Calibri"/>
        </w:rPr>
        <w:t xml:space="preserve">5 Rapports </w:t>
      </w:r>
      <w:proofErr w:type="spellStart"/>
      <w:r>
        <w:rPr>
          <w:rFonts w:ascii="Calibri" w:hAnsi="Calibri" w:cs="Calibri"/>
        </w:rPr>
        <w:t>Creditnet</w:t>
      </w:r>
      <w:proofErr w:type="spellEnd"/>
      <w:r>
        <w:rPr>
          <w:rFonts w:ascii="Calibri" w:hAnsi="Calibri" w:cs="Calibri"/>
        </w:rPr>
        <w:t> :</w:t>
      </w:r>
    </w:p>
    <w:p w:rsidR="00CF7E60" w:rsidRDefault="00CF7E60" w:rsidP="00CF7E60">
      <w:pPr>
        <w:pStyle w:val="Paragraphedeliste"/>
        <w:ind w:left="2160" w:hanging="360"/>
      </w:pPr>
      <w:r>
        <w:rPr>
          <w:rFonts w:ascii="Wingdings" w:eastAsia="Wingdings" w:hAnsi="Wingdings" w:cs="Wingdings"/>
          <w:iCs/>
        </w:rPr>
        <w:t></w:t>
      </w:r>
      <w:r>
        <w:rPr>
          <w:rFonts w:eastAsia="Wingdings"/>
          <w:iCs/>
          <w:sz w:val="14"/>
          <w:szCs w:val="14"/>
        </w:rPr>
        <w:t xml:space="preserve">  </w:t>
      </w:r>
      <w:r>
        <w:rPr>
          <w:rFonts w:ascii="Calibri" w:hAnsi="Calibri" w:cs="Calibri"/>
          <w:i/>
          <w:iCs/>
        </w:rPr>
        <w:t>Online : Belgique, Irlande, Suède, Pays-Bas, Norvège, Royaume-Uni, Allemagne, Espagne, Italie, Danemark,</w:t>
      </w:r>
    </w:p>
    <w:p w:rsidR="00CF7E60" w:rsidRDefault="00CF7E60" w:rsidP="00CF7E60">
      <w:pPr>
        <w:pStyle w:val="Paragraphedeliste"/>
        <w:ind w:left="2160" w:hanging="360"/>
      </w:pPr>
      <w:r>
        <w:rPr>
          <w:rFonts w:ascii="Wingdings" w:eastAsia="Wingdings" w:hAnsi="Wingdings" w:cs="Wingdings"/>
          <w:iCs/>
        </w:rPr>
        <w:t></w:t>
      </w:r>
      <w:r>
        <w:rPr>
          <w:rFonts w:eastAsia="Wingdings"/>
          <w:iCs/>
          <w:sz w:val="14"/>
          <w:szCs w:val="14"/>
        </w:rPr>
        <w:t xml:space="preserve">  </w:t>
      </w:r>
      <w:r>
        <w:rPr>
          <w:rFonts w:ascii="Calibri" w:hAnsi="Calibri" w:cs="Calibri"/>
          <w:i/>
          <w:iCs/>
        </w:rPr>
        <w:t>Offline : République Tchèque, Islande, Pologne, Portugal, Lituanie, Malte, Slovaquie, Ukraine, Russie, Estonie, Lettonie</w:t>
      </w:r>
    </w:p>
    <w:p w:rsidR="00CF7E60" w:rsidRDefault="00CF7E60" w:rsidP="00CF7E60">
      <w:pPr>
        <w:pStyle w:val="Paragraphedeliste"/>
        <w:ind w:left="720" w:hanging="360"/>
      </w:pPr>
      <w:r>
        <w:rPr>
          <w:rFonts w:ascii="Calibri" w:eastAsia="Calibri" w:hAnsi="Calibri" w:cs="Calibri"/>
        </w:rPr>
        <w:t>-</w:t>
      </w:r>
      <w:r>
        <w:rPr>
          <w:rFonts w:eastAsia="Calibri"/>
          <w:sz w:val="14"/>
          <w:szCs w:val="14"/>
        </w:rPr>
        <w:t xml:space="preserve">          </w:t>
      </w:r>
      <w:r>
        <w:rPr>
          <w:rFonts w:ascii="Calibri" w:hAnsi="Calibri" w:cs="Calibri"/>
        </w:rPr>
        <w:t>100 Fiches PDL Pack Optimal</w:t>
      </w:r>
    </w:p>
    <w:p w:rsidR="00CF7E60" w:rsidRDefault="00CF7E60" w:rsidP="00CF7E60">
      <w:pPr>
        <w:pStyle w:val="Paragraphedeliste"/>
        <w:ind w:left="720" w:hanging="360"/>
      </w:pPr>
      <w:r>
        <w:t> </w:t>
      </w:r>
    </w:p>
    <w:p w:rsidR="00CF7E60" w:rsidRDefault="00CF7E60" w:rsidP="00CF7E60">
      <w:r>
        <w:rPr>
          <w:b/>
          <w:bCs/>
        </w:rPr>
        <w:t>Pour un engagement de </w:t>
      </w:r>
      <w:r>
        <w:rPr>
          <w:b/>
          <w:bCs/>
          <w:color w:val="FF0000"/>
        </w:rPr>
        <w:t>24 mois</w:t>
      </w:r>
      <w:r>
        <w:rPr>
          <w:b/>
          <w:bCs/>
        </w:rPr>
        <w:t>: 1 500.00€ HT pour une durée de 12 mois avec une réduction de 46.66% soit 800.10€ HT</w:t>
      </w:r>
    </w:p>
    <w:p w:rsidR="00CF7E60" w:rsidRDefault="00CF7E60" w:rsidP="00CF7E60">
      <w:r>
        <w:rPr>
          <w:b/>
          <w:bCs/>
        </w:rPr>
        <w:t> </w:t>
      </w:r>
    </w:p>
    <w:p w:rsidR="00CF7E60" w:rsidRDefault="00CF7E60" w:rsidP="00CF7E60">
      <w:r>
        <w:rPr>
          <w:b/>
          <w:bCs/>
        </w:rPr>
        <w:t>                                  Total : 800.10€ HT par an, pour une durée de 24 mois à compter du 15 octobre 2010 (facturation annuelle)</w:t>
      </w:r>
    </w:p>
    <w:p w:rsidR="00CF7E60" w:rsidRDefault="00CF7E60" w:rsidP="00CF7E60">
      <w:r>
        <w:rPr>
          <w:b/>
          <w:bCs/>
        </w:rPr>
        <w:t> </w:t>
      </w:r>
    </w:p>
    <w:p w:rsidR="00CF7E60" w:rsidRDefault="00CF7E60" w:rsidP="00CF7E60">
      <w:r>
        <w:rPr>
          <w:b/>
          <w:bCs/>
        </w:rPr>
        <w:t>                                                                                   -------------------</w:t>
      </w:r>
    </w:p>
    <w:p w:rsidR="00CF7E60" w:rsidRDefault="00CF7E60" w:rsidP="00CF7E60">
      <w:r>
        <w:rPr>
          <w:b/>
          <w:bCs/>
        </w:rPr>
        <w:t> </w:t>
      </w:r>
    </w:p>
    <w:p w:rsidR="00CF7E60" w:rsidRDefault="00CF7E60" w:rsidP="00CF7E60">
      <w:r>
        <w:rPr>
          <w:b/>
          <w:bCs/>
        </w:rPr>
        <w:t>Pour un engagement de</w:t>
      </w:r>
      <w:r>
        <w:rPr>
          <w:b/>
          <w:bCs/>
          <w:color w:val="FF0000"/>
        </w:rPr>
        <w:t> 12 mois</w:t>
      </w:r>
      <w:r>
        <w:rPr>
          <w:b/>
          <w:bCs/>
        </w:rPr>
        <w:t>: 1 500.00€ HT pour une durée de 12 mois avec une réduction de 33.33% soit 1 000.05€ HT</w:t>
      </w:r>
    </w:p>
    <w:p w:rsidR="00CF7E60" w:rsidRDefault="00CF7E60" w:rsidP="00CF7E60">
      <w:r>
        <w:rPr>
          <w:b/>
          <w:bCs/>
        </w:rPr>
        <w:t> </w:t>
      </w:r>
    </w:p>
    <w:p w:rsidR="00CF7E60" w:rsidRDefault="00CF7E60" w:rsidP="00CF7E60">
      <w:r>
        <w:rPr>
          <w:b/>
          <w:bCs/>
        </w:rPr>
        <w:t>                                  Total : 1 000.05€ HT pour une durée de 12 mois à compter du 15 octobre  2010</w:t>
      </w:r>
    </w:p>
    <w:p w:rsidR="00CF7E60" w:rsidRDefault="00CF7E60" w:rsidP="00CF7E60">
      <w:r>
        <w:t> </w:t>
      </w:r>
    </w:p>
    <w:p w:rsidR="00CF7E60" w:rsidRDefault="00CF7E60" w:rsidP="00CF7E60">
      <w:r>
        <w:t> </w:t>
      </w:r>
    </w:p>
    <w:p w:rsidR="00CF7E60" w:rsidRDefault="00CF7E60" w:rsidP="00CF7E60">
      <w:r>
        <w:t xml:space="preserve">Vous pouvez bénéficier en plus de votre renouvellement, de </w:t>
      </w:r>
      <w:r>
        <w:rPr>
          <w:rStyle w:val="lev"/>
        </w:rPr>
        <w:t>1 000 fiches</w:t>
      </w:r>
      <w:r>
        <w:t xml:space="preserve"> Premium data </w:t>
      </w:r>
      <w:proofErr w:type="spellStart"/>
      <w:r>
        <w:t>list</w:t>
      </w:r>
      <w:proofErr w:type="spellEnd"/>
      <w:r>
        <w:t xml:space="preserve"> du </w:t>
      </w:r>
      <w:r>
        <w:rPr>
          <w:rStyle w:val="lev"/>
        </w:rPr>
        <w:t>Pack Performance</w:t>
      </w:r>
      <w:r>
        <w:t xml:space="preserve"> à </w:t>
      </w:r>
      <w:r>
        <w:rPr>
          <w:rStyle w:val="lev"/>
        </w:rPr>
        <w:t>250.00€</w:t>
      </w:r>
      <w:r>
        <w:t xml:space="preserve"> HT au lieu de 690.00€ HT soit une réduction de </w:t>
      </w:r>
      <w:r>
        <w:rPr>
          <w:rStyle w:val="lev"/>
        </w:rPr>
        <w:t>63.76%</w:t>
      </w:r>
    </w:p>
    <w:p w:rsidR="00CF7E60" w:rsidRDefault="00CF7E60" w:rsidP="00CF7E60">
      <w:pPr>
        <w:pStyle w:val="NormalWeb"/>
      </w:pPr>
      <w:r>
        <w:t> </w:t>
      </w:r>
    </w:p>
    <w:p w:rsidR="00CF7E60" w:rsidRDefault="00CF7E60" w:rsidP="00CF7E60">
      <w:pPr>
        <w:pStyle w:val="NormalWeb"/>
      </w:pPr>
      <w:r>
        <w:t> </w:t>
      </w:r>
    </w:p>
    <w:p w:rsidR="00CF7E60" w:rsidRDefault="00CF7E60" w:rsidP="00CF7E60">
      <w:pPr>
        <w:pStyle w:val="NormalWeb"/>
      </w:pPr>
      <w:r>
        <w:t>En attendant, votre compte est toujours soumis à la tacite reconduction, qui s’effectuera par rapport à la date indiquée sur l’onglet « mon compte » de votre compte personnel.</w:t>
      </w:r>
    </w:p>
    <w:p w:rsidR="00CF7E60" w:rsidRDefault="00CF7E60" w:rsidP="00CF7E60">
      <w:pPr>
        <w:pStyle w:val="NormalWeb"/>
      </w:pPr>
      <w:r>
        <w:t> </w:t>
      </w:r>
    </w:p>
    <w:p w:rsidR="00CF7E60" w:rsidRDefault="00CF7E60" w:rsidP="00CF7E60">
      <w:pPr>
        <w:pStyle w:val="NormalWeb"/>
        <w:rPr>
          <w:sz w:val="20"/>
          <w:szCs w:val="20"/>
        </w:rPr>
      </w:pPr>
      <w:r>
        <w:t xml:space="preserve">Néanmoins, je vous contacterai le </w:t>
      </w:r>
      <w:r>
        <w:rPr>
          <w:rStyle w:val="lev"/>
        </w:rPr>
        <w:t>08 septembre 2010</w:t>
      </w:r>
      <w:r>
        <w:t> pour avoir votre réponse.</w:t>
      </w:r>
    </w:p>
    <w:p w:rsidR="00CF7E60" w:rsidRDefault="00CF7E60" w:rsidP="00CF7E60">
      <w:pPr>
        <w:pStyle w:val="NormalWeb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CF7E60" w:rsidRDefault="00CF7E60" w:rsidP="00CF7E60">
      <w:pPr>
        <w:pStyle w:val="NormalWeb"/>
      </w:pPr>
      <w:r>
        <w:t xml:space="preserve">Si vous souhaitez discuter des conditions de votre abonnement, vous pouvez me contacter au numéro indiqué ci-dessous. </w:t>
      </w:r>
    </w:p>
    <w:p w:rsidR="00CF7E60" w:rsidRDefault="00CF7E60" w:rsidP="00CF7E60">
      <w:pPr>
        <w:pStyle w:val="NormalWeb"/>
      </w:pPr>
      <w:r>
        <w:t> </w:t>
      </w:r>
    </w:p>
    <w:p w:rsidR="00CF7E60" w:rsidRDefault="00CF7E60" w:rsidP="00CF7E60">
      <w:pPr>
        <w:jc w:val="both"/>
      </w:pPr>
      <w:r>
        <w:t> </w:t>
      </w:r>
    </w:p>
    <w:p w:rsidR="00CF7E60" w:rsidRDefault="00CF7E60" w:rsidP="00CF7E60">
      <w:r>
        <w:lastRenderedPageBreak/>
        <w:t> </w:t>
      </w:r>
    </w:p>
    <w:p w:rsidR="00CF7E60" w:rsidRDefault="00CF7E60" w:rsidP="00CF7E60">
      <w:r>
        <w:t> </w:t>
      </w:r>
    </w:p>
    <w:p w:rsidR="00CF7E60" w:rsidRDefault="00CF7E60" w:rsidP="00CF7E60">
      <w:r>
        <w:rPr>
          <w:rFonts w:ascii="Arial" w:hAnsi="Arial" w:cs="Arial"/>
          <w:noProof/>
          <w:sz w:val="20"/>
          <w:szCs w:val="20"/>
        </w:rPr>
        <w:t>Cordialement,</w:t>
      </w:r>
    </w:p>
    <w:p w:rsidR="00CF7E60" w:rsidRDefault="00CF7E60" w:rsidP="00CF7E60">
      <w:r>
        <w:rPr>
          <w:noProof/>
        </w:rPr>
        <w:t> </w:t>
      </w:r>
    </w:p>
    <w:p w:rsidR="00CF7E60" w:rsidRDefault="00CF7E60" w:rsidP="00CF7E60">
      <w:pPr>
        <w:spacing w:before="100" w:beforeAutospacing="1" w:after="100" w:afterAutospacing="1"/>
        <w:rPr>
          <w:noProof/>
        </w:rPr>
      </w:pPr>
      <w:r>
        <w:rPr>
          <w:rFonts w:ascii="Trebuchet MS" w:eastAsiaTheme="minorEastAsia" w:hAnsi="Trebuchet MS"/>
          <w:b/>
          <w:bCs/>
          <w:noProof/>
          <w:color w:val="000000"/>
          <w:sz w:val="20"/>
          <w:szCs w:val="20"/>
        </w:rPr>
        <w:t>Essaid Mourabit</w:t>
      </w:r>
      <w:r>
        <w:rPr>
          <w:rFonts w:ascii="Arial" w:eastAsiaTheme="minorEastAsia" w:hAnsi="Arial" w:cs="Arial"/>
          <w:b/>
          <w:bCs/>
          <w:noProof/>
          <w:color w:val="000000"/>
          <w:sz w:val="20"/>
          <w:szCs w:val="20"/>
        </w:rPr>
        <w:br/>
      </w:r>
      <w:r>
        <w:rPr>
          <w:rFonts w:ascii="Trebuchet MS" w:eastAsiaTheme="minorEastAsia" w:hAnsi="Trebuchet MS"/>
          <w:noProof/>
          <w:color w:val="808080"/>
          <w:sz w:val="20"/>
          <w:szCs w:val="20"/>
        </w:rPr>
        <w:t>Service Renouvellement</w:t>
      </w:r>
      <w:r>
        <w:rPr>
          <w:rFonts w:ascii="Arial" w:eastAsiaTheme="minorEastAsia" w:hAnsi="Arial" w:cs="Arial"/>
          <w:noProof/>
          <w:color w:val="808080"/>
          <w:sz w:val="20"/>
          <w:szCs w:val="20"/>
        </w:rPr>
        <w:br/>
        <w:t>Renewal team</w:t>
      </w:r>
    </w:p>
    <w:p w:rsidR="00CF7E60" w:rsidRDefault="00CF7E60" w:rsidP="00CF7E60">
      <w:pPr>
        <w:spacing w:before="100" w:beforeAutospacing="1" w:after="100" w:afterAutospacing="1"/>
        <w:rPr>
          <w:noProof/>
        </w:rPr>
      </w:pPr>
      <w:r>
        <w:rPr>
          <w:rFonts w:ascii="Trebuchet MS" w:eastAsiaTheme="minorEastAsia" w:hAnsi="Trebuchet MS"/>
          <w:b/>
          <w:bCs/>
          <w:noProof/>
          <w:color w:val="000000"/>
          <w:sz w:val="20"/>
          <w:szCs w:val="20"/>
        </w:rPr>
        <w:t>Creditsafe</w:t>
      </w:r>
      <w:r>
        <w:rPr>
          <w:rFonts w:ascii="Arial" w:eastAsiaTheme="minorEastAsia" w:hAnsi="Arial" w:cs="Arial"/>
          <w:b/>
          <w:bCs/>
          <w:noProof/>
          <w:color w:val="000000"/>
          <w:sz w:val="20"/>
          <w:szCs w:val="20"/>
        </w:rPr>
        <w:t xml:space="preserve"> France - Solvabilité Entreprise</w:t>
      </w:r>
      <w:r>
        <w:rPr>
          <w:rFonts w:ascii="Arial" w:eastAsiaTheme="minorEastAsia" w:hAnsi="Arial" w:cs="Arial"/>
          <w:b/>
          <w:bCs/>
          <w:noProof/>
          <w:color w:val="000000"/>
          <w:sz w:val="20"/>
          <w:szCs w:val="20"/>
        </w:rPr>
        <w:br/>
      </w:r>
      <w:r>
        <w:rPr>
          <w:rFonts w:ascii="Trebuchet MS" w:eastAsiaTheme="minorEastAsia" w:hAnsi="Trebuchet MS"/>
          <w:noProof/>
          <w:color w:val="808080"/>
          <w:sz w:val="18"/>
          <w:szCs w:val="18"/>
        </w:rPr>
        <w:t>122</w:t>
      </w:r>
      <w:r>
        <w:rPr>
          <w:rFonts w:ascii="Trebuchet MS" w:eastAsiaTheme="minorEastAsia" w:hAnsi="Trebuchet MS"/>
          <w:noProof/>
          <w:color w:val="1F497D"/>
          <w:sz w:val="18"/>
          <w:szCs w:val="18"/>
        </w:rPr>
        <w:t>,</w:t>
      </w:r>
      <w:r>
        <w:rPr>
          <w:rFonts w:ascii="Trebuchet MS" w:eastAsiaTheme="minorEastAsia" w:hAnsi="Trebuchet MS"/>
          <w:noProof/>
          <w:color w:val="808080"/>
          <w:sz w:val="18"/>
          <w:szCs w:val="18"/>
        </w:rPr>
        <w:t xml:space="preserve"> rue de Tourcoing</w:t>
      </w:r>
      <w:r>
        <w:rPr>
          <w:rFonts w:ascii="Trebuchet MS" w:eastAsiaTheme="minorEastAsia" w:hAnsi="Trebuchet MS"/>
          <w:noProof/>
          <w:color w:val="808080"/>
          <w:sz w:val="18"/>
          <w:szCs w:val="18"/>
        </w:rPr>
        <w:br/>
        <w:t>59100 Roubaix</w:t>
      </w:r>
      <w:r>
        <w:rPr>
          <w:rFonts w:ascii="Trebuchet MS" w:eastAsiaTheme="minorEastAsia" w:hAnsi="Trebuchet MS"/>
          <w:noProof/>
          <w:color w:val="808080"/>
          <w:sz w:val="18"/>
          <w:szCs w:val="18"/>
        </w:rPr>
        <w:br/>
        <w:t>France</w:t>
      </w:r>
      <w:r>
        <w:rPr>
          <w:rFonts w:ascii="Trebuchet MS" w:eastAsiaTheme="minorEastAsia" w:hAnsi="Trebuchet MS"/>
          <w:noProof/>
          <w:color w:val="808080"/>
          <w:sz w:val="18"/>
          <w:szCs w:val="18"/>
        </w:rPr>
        <w:br/>
      </w:r>
      <w:r>
        <w:rPr>
          <w:rFonts w:ascii="Trebuchet MS" w:eastAsiaTheme="minorEastAsia" w:hAnsi="Trebuchet MS"/>
          <w:noProof/>
          <w:color w:val="808080"/>
          <w:sz w:val="18"/>
          <w:szCs w:val="18"/>
        </w:rPr>
        <w:br/>
        <w:t>Ligne directe : +33 (0) 3 20 25 85 93</w:t>
      </w:r>
    </w:p>
    <w:p w:rsidR="00CF7E60" w:rsidRDefault="00CF7E60" w:rsidP="00CF7E60">
      <w:pPr>
        <w:spacing w:before="100" w:beforeAutospacing="1" w:after="100" w:afterAutospacing="1"/>
        <w:rPr>
          <w:noProof/>
        </w:rPr>
      </w:pPr>
      <w:r>
        <w:rPr>
          <w:rFonts w:ascii="Trebuchet MS" w:eastAsiaTheme="minorEastAsia" w:hAnsi="Trebuchet MS"/>
          <w:noProof/>
          <w:color w:val="808080"/>
          <w:sz w:val="18"/>
          <w:szCs w:val="18"/>
        </w:rPr>
        <w:t>Fax : +33 (0) 3 20 25 85 99</w:t>
      </w:r>
      <w:r>
        <w:rPr>
          <w:rFonts w:ascii="Trebuchet MS" w:eastAsiaTheme="minorEastAsia" w:hAnsi="Trebuchet MS"/>
          <w:noProof/>
          <w:color w:val="808080"/>
          <w:sz w:val="18"/>
          <w:szCs w:val="18"/>
        </w:rPr>
        <w:br/>
        <w:t>E-mail : </w:t>
      </w:r>
      <w:hyperlink r:id="rId4" w:history="1">
        <w:r>
          <w:rPr>
            <w:rStyle w:val="Lienhypertexte"/>
            <w:rFonts w:ascii="Trebuchet MS" w:eastAsiaTheme="minorEastAsia" w:hAnsi="Trebuchet MS"/>
            <w:noProof/>
            <w:color w:val="7030A0"/>
            <w:sz w:val="18"/>
            <w:szCs w:val="22"/>
          </w:rPr>
          <w:t>Essaid.Mourabit@creditsafe.fr</w:t>
        </w:r>
      </w:hyperlink>
      <w:r>
        <w:rPr>
          <w:rFonts w:ascii="Trebuchet MS" w:eastAsiaTheme="minorEastAsia" w:hAnsi="Trebuchet MS"/>
          <w:noProof/>
          <w:color w:val="1F497D"/>
          <w:sz w:val="18"/>
          <w:szCs w:val="18"/>
        </w:rPr>
        <w:t xml:space="preserve"> </w:t>
      </w:r>
      <w:r>
        <w:rPr>
          <w:rFonts w:ascii="Trebuchet MS" w:eastAsiaTheme="minorEastAsia" w:hAnsi="Trebuchet MS"/>
          <w:noProof/>
          <w:color w:val="808080"/>
          <w:sz w:val="18"/>
          <w:szCs w:val="18"/>
        </w:rPr>
        <w:t xml:space="preserve">| URL : </w:t>
      </w:r>
      <w:hyperlink r:id="rId5" w:tgtFrame="_blank" w:tooltip="blocked::http://www.creditsafe.fr/" w:history="1">
        <w:r>
          <w:rPr>
            <w:rStyle w:val="Lienhypertexte"/>
            <w:rFonts w:ascii="Trebuchet MS" w:eastAsiaTheme="minorEastAsia" w:hAnsi="Trebuchet MS"/>
            <w:noProof/>
            <w:color w:val="7030A0"/>
            <w:sz w:val="18"/>
            <w:szCs w:val="22"/>
          </w:rPr>
          <w:t>www.creditsafe.fr</w:t>
        </w:r>
      </w:hyperlink>
    </w:p>
    <w:p w:rsidR="00E6115D" w:rsidRDefault="00E6115D"/>
    <w:sectPr w:rsidR="00E6115D" w:rsidSect="00E61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7E60"/>
    <w:rsid w:val="00CF7E60"/>
    <w:rsid w:val="00E61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E60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CF7E60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7E60"/>
  </w:style>
  <w:style w:type="paragraph" w:styleId="Paragraphedeliste">
    <w:name w:val="List Paragraph"/>
    <w:basedOn w:val="Normal"/>
    <w:uiPriority w:val="34"/>
    <w:qFormat/>
    <w:rsid w:val="00CF7E60"/>
  </w:style>
  <w:style w:type="character" w:styleId="lev">
    <w:name w:val="Strong"/>
    <w:basedOn w:val="Policepardfaut"/>
    <w:uiPriority w:val="22"/>
    <w:qFormat/>
    <w:rsid w:val="00CF7E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blocked::http://www.creditsafe.fr/" TargetMode="External"/><Relationship Id="rId4" Type="http://schemas.openxmlformats.org/officeDocument/2006/relationships/hyperlink" Target="mailto:Essaid.Mourabit@creditsaf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2010-09-01T22:45:00Z</dcterms:created>
  <dcterms:modified xsi:type="dcterms:W3CDTF">2010-09-01T22:46:00Z</dcterms:modified>
</cp:coreProperties>
</file>