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9E" w:rsidRPr="00731A9E" w:rsidRDefault="00731A9E">
      <w:pPr>
        <w:rPr>
          <w:rStyle w:val="texteor"/>
          <w:b/>
          <w:sz w:val="20"/>
          <w:szCs w:val="20"/>
        </w:rPr>
      </w:pPr>
      <w:r w:rsidRPr="00731A9E">
        <w:rPr>
          <w:b/>
        </w:rPr>
        <w:t>Fortis Assurances</w:t>
      </w:r>
    </w:p>
    <w:p w:rsidR="00A8697D" w:rsidRDefault="002D4033">
      <w:pPr>
        <w:rPr>
          <w:sz w:val="20"/>
          <w:szCs w:val="20"/>
        </w:rPr>
      </w:pPr>
      <w:r w:rsidRPr="002D4033">
        <w:rPr>
          <w:rStyle w:val="texteor"/>
          <w:sz w:val="20"/>
          <w:szCs w:val="20"/>
        </w:rPr>
        <w:t>Contrat multi supports / multi gestionnaires</w:t>
      </w:r>
      <w:r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</w:r>
      <w:r w:rsidRPr="002D4033">
        <w:rPr>
          <w:rStyle w:val="texteor"/>
          <w:sz w:val="20"/>
          <w:szCs w:val="20"/>
        </w:rPr>
        <w:t>80 Fonds disponibles</w:t>
      </w:r>
      <w:r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</w:r>
      <w:r w:rsidRPr="002D4033">
        <w:rPr>
          <w:rStyle w:val="texteor"/>
          <w:sz w:val="20"/>
          <w:szCs w:val="20"/>
        </w:rPr>
        <w:t>Fond Euros : Actif général de Fortis</w:t>
      </w:r>
      <w:r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</w:r>
      <w:r w:rsidRPr="002D4033">
        <w:rPr>
          <w:rStyle w:val="texteor"/>
          <w:sz w:val="20"/>
          <w:szCs w:val="20"/>
        </w:rPr>
        <w:t>Épargne minimum :</w:t>
      </w:r>
      <w:r w:rsidRPr="002D4033"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  <w:t>200</w:t>
      </w:r>
      <w:r>
        <w:rPr>
          <w:sz w:val="20"/>
          <w:szCs w:val="20"/>
        </w:rPr>
        <w:t xml:space="preserve">€ par mois, 600€ par trimestre </w:t>
      </w:r>
      <w:r w:rsidRPr="002D4033">
        <w:rPr>
          <w:sz w:val="20"/>
          <w:szCs w:val="20"/>
        </w:rPr>
        <w:br/>
      </w:r>
      <w:r w:rsidRPr="002D4033">
        <w:rPr>
          <w:rStyle w:val="texteor"/>
          <w:sz w:val="20"/>
          <w:szCs w:val="20"/>
        </w:rPr>
        <w:t>Souscription minimum :</w:t>
      </w:r>
      <w:r>
        <w:rPr>
          <w:sz w:val="20"/>
          <w:szCs w:val="20"/>
        </w:rPr>
        <w:t xml:space="preserve"> 1 500 € </w:t>
      </w:r>
      <w:r w:rsidRPr="002D4033">
        <w:rPr>
          <w:sz w:val="20"/>
          <w:szCs w:val="20"/>
        </w:rPr>
        <w:br/>
      </w:r>
      <w:r w:rsidRPr="002D4033">
        <w:rPr>
          <w:rStyle w:val="texteor"/>
          <w:sz w:val="20"/>
          <w:szCs w:val="20"/>
        </w:rPr>
        <w:t>Frais d'entrée :</w:t>
      </w:r>
      <w:r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t xml:space="preserve">4,50% dont 1,70% incompressible. </w:t>
      </w:r>
      <w:r w:rsidRPr="002D4033">
        <w:rPr>
          <w:sz w:val="20"/>
          <w:szCs w:val="20"/>
        </w:rPr>
        <w:br/>
      </w:r>
      <w:r w:rsidRPr="002D4033">
        <w:rPr>
          <w:sz w:val="20"/>
          <w:szCs w:val="20"/>
        </w:rPr>
        <w:br/>
      </w:r>
      <w:r w:rsidRPr="002D4033">
        <w:rPr>
          <w:b/>
          <w:bCs/>
          <w:sz w:val="20"/>
          <w:szCs w:val="20"/>
        </w:rPr>
        <w:t>Opération 2007 : Challenge de collecte : 1 M€</w:t>
      </w:r>
      <w:r w:rsidRPr="002D4033"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  <w:t>Encours supplémentaire de 0,5 % escompté sur les récurre</w:t>
      </w:r>
      <w:r>
        <w:rPr>
          <w:sz w:val="20"/>
          <w:szCs w:val="20"/>
        </w:rPr>
        <w:t xml:space="preserve">nts - rétroactif au 1er euros. </w:t>
      </w:r>
      <w:r w:rsidRPr="002D4033">
        <w:rPr>
          <w:sz w:val="20"/>
          <w:szCs w:val="20"/>
        </w:rPr>
        <w:br/>
      </w:r>
      <w:r w:rsidRPr="002D4033">
        <w:rPr>
          <w:rStyle w:val="texteor"/>
          <w:sz w:val="20"/>
          <w:szCs w:val="20"/>
        </w:rPr>
        <w:t>Frais de gestion :</w:t>
      </w:r>
      <w:r w:rsidRPr="002D4033"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  <w:t xml:space="preserve">0,80% par an sur fonds euros et 1% par an sur </w:t>
      </w:r>
      <w:r>
        <w:rPr>
          <w:sz w:val="20"/>
          <w:szCs w:val="20"/>
        </w:rPr>
        <w:t xml:space="preserve">les unités de compte </w:t>
      </w:r>
      <w:r w:rsidRPr="002D4033">
        <w:rPr>
          <w:sz w:val="20"/>
          <w:szCs w:val="20"/>
        </w:rPr>
        <w:br/>
      </w:r>
      <w:r w:rsidRPr="002D4033">
        <w:rPr>
          <w:rStyle w:val="texteor"/>
          <w:sz w:val="20"/>
          <w:szCs w:val="20"/>
        </w:rPr>
        <w:t>Frais d'arbitrage :</w:t>
      </w:r>
      <w:r w:rsidRPr="002D4033"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  <w:t xml:space="preserve">0,5 % de la PM transférée, limités à 750€ pour les arbitrages volontaires. Les arbitrages des options automatiques sont gratuits </w:t>
      </w:r>
      <w:r w:rsidRPr="002D4033">
        <w:rPr>
          <w:sz w:val="20"/>
          <w:szCs w:val="20"/>
        </w:rPr>
        <w:br/>
      </w:r>
      <w:r w:rsidRPr="002D4033">
        <w:rPr>
          <w:sz w:val="20"/>
          <w:szCs w:val="20"/>
        </w:rPr>
        <w:br/>
      </w:r>
      <w:r w:rsidRPr="002D4033">
        <w:rPr>
          <w:rStyle w:val="texteor"/>
          <w:sz w:val="20"/>
          <w:szCs w:val="20"/>
        </w:rPr>
        <w:t>Frais d'arrérage :</w:t>
      </w:r>
      <w:r>
        <w:rPr>
          <w:sz w:val="20"/>
          <w:szCs w:val="20"/>
        </w:rPr>
        <w:t xml:space="preserve"> 3% </w:t>
      </w:r>
      <w:r w:rsidRPr="002D4033">
        <w:rPr>
          <w:sz w:val="20"/>
          <w:szCs w:val="20"/>
        </w:rPr>
        <w:br/>
      </w:r>
      <w:r w:rsidRPr="002D4033">
        <w:rPr>
          <w:rStyle w:val="texteor"/>
          <w:sz w:val="20"/>
          <w:szCs w:val="20"/>
        </w:rPr>
        <w:t>Option :</w:t>
      </w:r>
      <w:r w:rsidRPr="002D4033"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</w:r>
      <w:r w:rsidRPr="002D4033">
        <w:rPr>
          <w:b/>
          <w:bCs/>
          <w:sz w:val="20"/>
          <w:szCs w:val="20"/>
        </w:rPr>
        <w:t>Option d'arbitrage automatiques :</w:t>
      </w:r>
      <w:r w:rsidRPr="002D4033"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  <w:t xml:space="preserve">- Sécurisation des plus-values </w:t>
      </w:r>
      <w:r w:rsidRPr="002D4033">
        <w:rPr>
          <w:sz w:val="20"/>
          <w:szCs w:val="20"/>
        </w:rPr>
        <w:br/>
        <w:t xml:space="preserve">- Stop </w:t>
      </w:r>
      <w:proofErr w:type="spellStart"/>
      <w:r w:rsidRPr="002D4033">
        <w:rPr>
          <w:sz w:val="20"/>
          <w:szCs w:val="20"/>
        </w:rPr>
        <w:t>loss</w:t>
      </w:r>
      <w:proofErr w:type="spellEnd"/>
      <w:r w:rsidRPr="002D4033">
        <w:rPr>
          <w:sz w:val="20"/>
          <w:szCs w:val="20"/>
        </w:rPr>
        <w:t xml:space="preserve"> absolu </w:t>
      </w:r>
      <w:r w:rsidRPr="002D4033">
        <w:rPr>
          <w:sz w:val="20"/>
          <w:szCs w:val="20"/>
        </w:rPr>
        <w:br/>
        <w:t xml:space="preserve">- Stop </w:t>
      </w:r>
      <w:proofErr w:type="spellStart"/>
      <w:r w:rsidRPr="002D4033">
        <w:rPr>
          <w:sz w:val="20"/>
          <w:szCs w:val="20"/>
        </w:rPr>
        <w:t>loss</w:t>
      </w:r>
      <w:proofErr w:type="spellEnd"/>
      <w:r w:rsidRPr="002D4033">
        <w:rPr>
          <w:sz w:val="20"/>
          <w:szCs w:val="20"/>
        </w:rPr>
        <w:t xml:space="preserve"> relatif </w:t>
      </w:r>
      <w:r w:rsidRPr="002D4033">
        <w:rPr>
          <w:sz w:val="20"/>
          <w:szCs w:val="20"/>
        </w:rPr>
        <w:br/>
        <w:t xml:space="preserve">- Dynamisation de la participation aux bénéfices du fonds euros </w:t>
      </w:r>
      <w:r w:rsidRPr="002D4033">
        <w:rPr>
          <w:sz w:val="20"/>
          <w:szCs w:val="20"/>
        </w:rPr>
        <w:br/>
        <w:t xml:space="preserve">- Investissement progressif de l'épargne </w:t>
      </w:r>
      <w:r w:rsidRPr="002D4033">
        <w:rPr>
          <w:sz w:val="20"/>
          <w:szCs w:val="20"/>
        </w:rPr>
        <w:br/>
        <w:t xml:space="preserve">- Rééquilibrage de l'allocation d'actifs cible </w:t>
      </w:r>
      <w:r w:rsidRPr="002D4033">
        <w:rPr>
          <w:sz w:val="20"/>
          <w:szCs w:val="20"/>
        </w:rPr>
        <w:br/>
      </w:r>
      <w:r w:rsidRPr="002D4033">
        <w:rPr>
          <w:sz w:val="20"/>
          <w:szCs w:val="20"/>
        </w:rPr>
        <w:br/>
      </w:r>
      <w:r w:rsidRPr="002D4033">
        <w:rPr>
          <w:sz w:val="20"/>
          <w:szCs w:val="20"/>
          <w:u w:val="single"/>
        </w:rPr>
        <w:t>Garantie en cas de vie</w:t>
      </w:r>
      <w:r w:rsidRPr="002D4033"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</w:r>
      <w:r w:rsidRPr="002D4033">
        <w:rPr>
          <w:b/>
          <w:bCs/>
          <w:sz w:val="20"/>
          <w:szCs w:val="20"/>
        </w:rPr>
        <w:t>Option au terme du contrat :</w:t>
      </w:r>
      <w:r w:rsidRPr="002D4033"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  <w:t xml:space="preserve">-Rente viagère (réversible ou non) </w:t>
      </w:r>
      <w:r w:rsidRPr="002D4033">
        <w:rPr>
          <w:sz w:val="20"/>
          <w:szCs w:val="20"/>
        </w:rPr>
        <w:br/>
        <w:t xml:space="preserve">-Rente avec annuités garanties </w:t>
      </w:r>
      <w:r w:rsidRPr="002D4033">
        <w:rPr>
          <w:sz w:val="20"/>
          <w:szCs w:val="20"/>
        </w:rPr>
        <w:br/>
        <w:t xml:space="preserve">-rente viagère sur 2 têtes </w:t>
      </w:r>
      <w:r w:rsidRPr="002D4033">
        <w:rPr>
          <w:sz w:val="20"/>
          <w:szCs w:val="20"/>
        </w:rPr>
        <w:br/>
        <w:t xml:space="preserve">Le </w:t>
      </w:r>
      <w:proofErr w:type="spellStart"/>
      <w:r w:rsidRPr="002D4033">
        <w:rPr>
          <w:sz w:val="20"/>
          <w:szCs w:val="20"/>
        </w:rPr>
        <w:t>tarfif</w:t>
      </w:r>
      <w:proofErr w:type="spellEnd"/>
      <w:r w:rsidRPr="002D4033">
        <w:rPr>
          <w:sz w:val="20"/>
          <w:szCs w:val="20"/>
        </w:rPr>
        <w:t xml:space="preserve"> appliqué est celui en vigueur au moment de la mise en place de la rente. </w:t>
      </w:r>
      <w:r w:rsidRPr="002D4033">
        <w:rPr>
          <w:sz w:val="20"/>
          <w:szCs w:val="20"/>
        </w:rPr>
        <w:br/>
      </w:r>
      <w:r w:rsidRPr="002D4033">
        <w:rPr>
          <w:sz w:val="20"/>
          <w:szCs w:val="20"/>
        </w:rPr>
        <w:br/>
      </w:r>
      <w:r w:rsidRPr="002D4033">
        <w:rPr>
          <w:sz w:val="20"/>
          <w:szCs w:val="20"/>
          <w:u w:val="single"/>
        </w:rPr>
        <w:t>Garantie en cas de décès</w:t>
      </w:r>
      <w:r w:rsidRPr="002D4033"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  <w:t xml:space="preserve">- Garantie plancher </w:t>
      </w:r>
      <w:r w:rsidRPr="002D4033">
        <w:rPr>
          <w:sz w:val="20"/>
          <w:szCs w:val="20"/>
        </w:rPr>
        <w:br/>
      </w:r>
      <w:r w:rsidRPr="002D4033">
        <w:rPr>
          <w:sz w:val="20"/>
          <w:szCs w:val="20"/>
        </w:rPr>
        <w:br/>
      </w:r>
      <w:r w:rsidRPr="002D4033">
        <w:rPr>
          <w:rStyle w:val="texteor"/>
          <w:sz w:val="20"/>
          <w:szCs w:val="20"/>
        </w:rPr>
        <w:t>Rappel :</w:t>
      </w:r>
      <w:r w:rsidRPr="002D4033">
        <w:rPr>
          <w:sz w:val="20"/>
          <w:szCs w:val="20"/>
        </w:rPr>
        <w:t xml:space="preserve"> </w:t>
      </w:r>
      <w:r w:rsidRPr="002D4033">
        <w:rPr>
          <w:sz w:val="20"/>
          <w:szCs w:val="20"/>
        </w:rPr>
        <w:br/>
        <w:t>Pour toutes souscriptions, la fiche de versement doit être joint. De plus</w:t>
      </w:r>
      <w:r>
        <w:rPr>
          <w:sz w:val="20"/>
          <w:szCs w:val="20"/>
        </w:rPr>
        <w:t>, en cas de versement supérieur</w:t>
      </w:r>
      <w:r>
        <w:rPr>
          <w:sz w:val="20"/>
          <w:szCs w:val="20"/>
        </w:rPr>
        <w:br/>
      </w:r>
      <w:r w:rsidRPr="002D4033">
        <w:rPr>
          <w:sz w:val="20"/>
          <w:szCs w:val="20"/>
        </w:rPr>
        <w:t>à 150 000 €, elle fait office de TRACFIN.</w:t>
      </w:r>
    </w:p>
    <w:p w:rsidR="00F61D1E" w:rsidRDefault="00F61D1E">
      <w:pPr>
        <w:rPr>
          <w:sz w:val="20"/>
          <w:szCs w:val="20"/>
        </w:rPr>
      </w:pPr>
    </w:p>
    <w:p w:rsidR="00F61D1E" w:rsidRDefault="00F61D1E">
      <w:pPr>
        <w:rPr>
          <w:sz w:val="20"/>
          <w:szCs w:val="20"/>
        </w:rPr>
      </w:pPr>
    </w:p>
    <w:p w:rsidR="00F61D1E" w:rsidRDefault="00F61D1E">
      <w:pPr>
        <w:rPr>
          <w:sz w:val="20"/>
          <w:szCs w:val="20"/>
        </w:rPr>
        <w:sectPr w:rsidR="00F61D1E" w:rsidSect="00A869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1D1E" w:rsidRPr="00F61D1E" w:rsidRDefault="00F61D1E" w:rsidP="00F61D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F61D1E">
        <w:rPr>
          <w:rFonts w:eastAsia="Times New Roman" w:cstheme="minorHAnsi"/>
          <w:b/>
          <w:sz w:val="24"/>
          <w:szCs w:val="24"/>
          <w:lang w:eastAsia="fr-FR"/>
        </w:rPr>
        <w:t xml:space="preserve">SWISS LIFE </w:t>
      </w:r>
    </w:p>
    <w:p w:rsidR="00F61D1E" w:rsidRPr="00F61D1E" w:rsidRDefault="00F61D1E" w:rsidP="00F61D1E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1 "Fonds Euros"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Épargne minimum :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250 € par mois et par support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Souscription minimum :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1 000 € (prélèvement automatique obligatoire)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Frais d'entrée : 4,50%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Frais de gestion : 0,70%=&gt;fonds euros et 1%=&gt;U.C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Frais d'arbitrage : 1 arbitrage gratuit/an ensuite, montant forfaitaire de 90 €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Options :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>I - Rente</w:t>
      </w:r>
      <w:r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II- Arbitrages programmés :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1 - Réallocation automatique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2 - Investissement progressif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3 - Arbitrage automatique en cas de plus-values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4 - Arbitrage automatique en cas de moins-values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5 - Arbitrage automatique et progressif de l'épargne vers le fonds "Euros" </w:t>
      </w:r>
      <w:r>
        <w:rPr>
          <w:rFonts w:eastAsia="Times New Roman" w:cstheme="minorHAnsi"/>
          <w:sz w:val="20"/>
          <w:szCs w:val="20"/>
          <w:lang w:eastAsia="fr-FR"/>
        </w:rPr>
        <w:br/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Frais équivalents aux frais d'arbitrage libres :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- 1 arbitrage gratuit/an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- 1 % de l'épargne transférée.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Le montant minimum des frais perçus est fixé à 90 €.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>- Garantie "Plancher Décès" : 4% de la cotisation prélevée au titre de la garantie "Plancher Décès", inclus dans le b</w:t>
      </w:r>
      <w:r>
        <w:rPr>
          <w:rFonts w:eastAsia="Times New Roman" w:cstheme="minorHAnsi"/>
          <w:sz w:val="20"/>
          <w:szCs w:val="20"/>
          <w:lang w:eastAsia="fr-FR"/>
        </w:rPr>
        <w:t xml:space="preserve">arème figurant à l'article 10.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A joindre à toute demande d'adhésion :- Copies des pièces d'identités en cours de validité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- Chèque du compte de l'adhérent à l'ordre de </w:t>
      </w:r>
      <w:proofErr w:type="spellStart"/>
      <w:r w:rsidRPr="00F61D1E">
        <w:rPr>
          <w:rFonts w:eastAsia="Times New Roman" w:cstheme="minorHAnsi"/>
          <w:sz w:val="20"/>
          <w:szCs w:val="20"/>
          <w:lang w:eastAsia="fr-FR"/>
        </w:rPr>
        <w:t>SwissLife</w:t>
      </w:r>
      <w:proofErr w:type="spellEnd"/>
      <w:r w:rsidRPr="00F61D1E">
        <w:rPr>
          <w:rFonts w:eastAsia="Times New Roman" w:cstheme="minorHAnsi"/>
          <w:sz w:val="20"/>
          <w:szCs w:val="20"/>
          <w:lang w:eastAsia="fr-FR"/>
        </w:rPr>
        <w:t xml:space="preserve"> Assurance et Patrimoine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>- Annexe liste des UC (</w:t>
      </w:r>
      <w:proofErr w:type="spellStart"/>
      <w:r w:rsidRPr="00F61D1E">
        <w:rPr>
          <w:rFonts w:eastAsia="Times New Roman" w:cstheme="minorHAnsi"/>
          <w:sz w:val="20"/>
          <w:szCs w:val="20"/>
          <w:lang w:eastAsia="fr-FR"/>
        </w:rPr>
        <w:t>mod</w:t>
      </w:r>
      <w:proofErr w:type="spellEnd"/>
      <w:r w:rsidRPr="00F61D1E">
        <w:rPr>
          <w:rFonts w:eastAsia="Times New Roman" w:cstheme="minorHAnsi"/>
          <w:sz w:val="20"/>
          <w:szCs w:val="20"/>
          <w:lang w:eastAsia="fr-FR"/>
        </w:rPr>
        <w:t>. 1195 bis) : do</w:t>
      </w:r>
      <w:r>
        <w:rPr>
          <w:rFonts w:eastAsia="Times New Roman" w:cstheme="minorHAnsi"/>
          <w:sz w:val="20"/>
          <w:szCs w:val="20"/>
          <w:lang w:eastAsia="fr-FR"/>
        </w:rPr>
        <w:t xml:space="preserve">it être signée par le client </w:t>
      </w:r>
      <w:r>
        <w:rPr>
          <w:rFonts w:eastAsia="Times New Roman" w:cstheme="minorHAnsi"/>
          <w:sz w:val="20"/>
          <w:szCs w:val="20"/>
          <w:lang w:eastAsia="fr-FR"/>
        </w:rPr>
        <w:br/>
        <w:t xml:space="preserve">- </w:t>
      </w:r>
      <w:r w:rsidRPr="00F61D1E">
        <w:rPr>
          <w:rFonts w:eastAsia="Times New Roman" w:cstheme="minorHAnsi"/>
          <w:sz w:val="20"/>
          <w:szCs w:val="20"/>
          <w:lang w:eastAsia="fr-FR"/>
        </w:rPr>
        <w:t xml:space="preserve"> Avenant de réorientation d'épargne : si cette option d'arbitrage a été choisie, l'avenant de réorientation (</w:t>
      </w:r>
      <w:proofErr w:type="spellStart"/>
      <w:r w:rsidRPr="00F61D1E">
        <w:rPr>
          <w:rFonts w:eastAsia="Times New Roman" w:cstheme="minorHAnsi"/>
          <w:sz w:val="20"/>
          <w:szCs w:val="20"/>
          <w:lang w:eastAsia="fr-FR"/>
        </w:rPr>
        <w:t>mod</w:t>
      </w:r>
      <w:proofErr w:type="spellEnd"/>
      <w:r w:rsidRPr="00F61D1E">
        <w:rPr>
          <w:rFonts w:eastAsia="Times New Roman" w:cstheme="minorHAnsi"/>
          <w:sz w:val="20"/>
          <w:szCs w:val="20"/>
          <w:lang w:eastAsia="fr-FR"/>
        </w:rPr>
        <w:t xml:space="preserve">. 12192) doit être signé par le client et transmis également en même temps que le dossier de souscription.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Versements programmés :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- RIB ou RIP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>- Autorisation de prélèvement "</w:t>
      </w:r>
      <w:proofErr w:type="spellStart"/>
      <w:r w:rsidRPr="00F61D1E">
        <w:rPr>
          <w:rFonts w:eastAsia="Times New Roman" w:cstheme="minorHAnsi"/>
          <w:sz w:val="20"/>
          <w:szCs w:val="20"/>
          <w:lang w:eastAsia="fr-FR"/>
        </w:rPr>
        <w:t>SwissLife</w:t>
      </w:r>
      <w:proofErr w:type="spellEnd"/>
      <w:r w:rsidRPr="00F61D1E">
        <w:rPr>
          <w:rFonts w:eastAsia="Times New Roman" w:cstheme="minorHAnsi"/>
          <w:sz w:val="20"/>
          <w:szCs w:val="20"/>
          <w:lang w:eastAsia="fr-FR"/>
        </w:rPr>
        <w:t xml:space="preserve"> Assurance et Patrimoine" complétée et signée par le client.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Souscripteur de plus de 80 ans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- Rapport patrimonial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- Attestation sur l'honneur du souscripteur sur son état de santé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Souscription enfant mineur (de plus ou moins de 12 ans)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>- Souscripteur/assuré</w:t>
      </w:r>
      <w:r>
        <w:rPr>
          <w:rFonts w:eastAsia="Times New Roman" w:cstheme="minorHAnsi"/>
          <w:sz w:val="20"/>
          <w:szCs w:val="20"/>
          <w:lang w:eastAsia="fr-FR"/>
        </w:rPr>
        <w:t xml:space="preserve"> doit être l'enfant mineur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- Bénéficiaire en cas de </w:t>
      </w:r>
      <w:r>
        <w:rPr>
          <w:rFonts w:eastAsia="Times New Roman" w:cstheme="minorHAnsi"/>
          <w:sz w:val="20"/>
          <w:szCs w:val="20"/>
          <w:lang w:eastAsia="fr-FR"/>
        </w:rPr>
        <w:t xml:space="preserve">décès : "mes héritiers légaux"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>- Signature de la proposition : double signature (2 parents, ou le parent unique avec autorisation du Juge des Tutelles, ou le tuteur avec autorisation du conseil de fam</w:t>
      </w:r>
      <w:r>
        <w:rPr>
          <w:rFonts w:eastAsia="Times New Roman" w:cstheme="minorHAnsi"/>
          <w:sz w:val="20"/>
          <w:szCs w:val="20"/>
          <w:lang w:eastAsia="fr-FR"/>
        </w:rPr>
        <w:t xml:space="preserve">ille)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>- Joindre une copie de la pièce d'identité des signataires et du livret de famille (le cas échéant : du signataire + ordonnance du Juge des Tu</w:t>
      </w:r>
      <w:r>
        <w:rPr>
          <w:rFonts w:eastAsia="Times New Roman" w:cstheme="minorHAnsi"/>
          <w:sz w:val="20"/>
          <w:szCs w:val="20"/>
          <w:lang w:eastAsia="fr-FR"/>
        </w:rPr>
        <w:t xml:space="preserve">telles ou autorisation du CF).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Co-adhésion :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>- Bulletin de souscription signé par toutes les parties d</w:t>
      </w:r>
      <w:r>
        <w:rPr>
          <w:rFonts w:eastAsia="Times New Roman" w:cstheme="minorHAnsi"/>
          <w:sz w:val="20"/>
          <w:szCs w:val="20"/>
          <w:lang w:eastAsia="fr-FR"/>
        </w:rPr>
        <w:t xml:space="preserve">u contrat </w:t>
      </w:r>
      <w:r>
        <w:rPr>
          <w:rFonts w:eastAsia="Times New Roman" w:cstheme="minorHAnsi"/>
          <w:sz w:val="20"/>
          <w:szCs w:val="20"/>
          <w:lang w:eastAsia="fr-FR"/>
        </w:rPr>
        <w:br/>
        <w:t xml:space="preserve">Si dénouement au 2ème décès :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- Couple marié, régime de la communauté universelle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ET </w:t>
      </w:r>
      <w:r>
        <w:rPr>
          <w:rFonts w:eastAsia="Times New Roman" w:cstheme="minorHAnsi"/>
          <w:sz w:val="20"/>
          <w:szCs w:val="20"/>
          <w:lang w:eastAsia="fr-FR"/>
        </w:rPr>
        <w:br/>
        <w:t xml:space="preserve">- </w:t>
      </w:r>
      <w:r w:rsidRPr="00F61D1E">
        <w:rPr>
          <w:rFonts w:eastAsia="Times New Roman" w:cstheme="minorHAnsi"/>
          <w:sz w:val="20"/>
          <w:szCs w:val="20"/>
          <w:lang w:eastAsia="fr-FR"/>
        </w:rPr>
        <w:t xml:space="preserve">Attribution intégrale au conjoint survivant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OU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- Clause de préciput comprenant le contrat d'assurance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Joindre une copie du contrat de mariage avec la clause d'attribution intégrale au conjoint survivant ou clause de préciput comprenant les contrats d'assurance.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Rappel :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Contrôles "anti-blanchiment" renforcés pour les versements supérieurs à 150.000 € (effectués à la souscription ou dans le cadre d'opérations multiples pour un même foyer fiscal) ou toute opération dans laquelle vous constatez une anomalie quelconque :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- Fiche d'information d'une opération devant faire l'objet d'un examen particulier </w:t>
      </w:r>
      <w:r w:rsidRPr="00F61D1E">
        <w:rPr>
          <w:rFonts w:eastAsia="Times New Roman" w:cstheme="minorHAnsi"/>
          <w:sz w:val="20"/>
          <w:szCs w:val="20"/>
          <w:lang w:eastAsia="fr-FR"/>
        </w:rPr>
        <w:br/>
        <w:t xml:space="preserve">- Justificatifs de la provenance des fonds et de l'explication de l'opération. </w:t>
      </w:r>
    </w:p>
    <w:sectPr w:rsidR="00F61D1E" w:rsidRPr="00F61D1E" w:rsidSect="00A8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033"/>
    <w:rsid w:val="002D4033"/>
    <w:rsid w:val="00731A9E"/>
    <w:rsid w:val="00A8697D"/>
    <w:rsid w:val="00F6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or">
    <w:name w:val="texteor"/>
    <w:basedOn w:val="Policepardfaut"/>
    <w:rsid w:val="002D4033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61D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61D1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61D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61D1E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extebleu">
    <w:name w:val="textebleu"/>
    <w:basedOn w:val="Policepardfaut"/>
    <w:rsid w:val="00F61D1E"/>
  </w:style>
  <w:style w:type="paragraph" w:styleId="Textedebulles">
    <w:name w:val="Balloon Text"/>
    <w:basedOn w:val="Normal"/>
    <w:link w:val="TextedebullesCar"/>
    <w:uiPriority w:val="99"/>
    <w:semiHidden/>
    <w:unhideWhenUsed/>
    <w:rsid w:val="00F6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CBB2-BE87-4463-A666-40E332A0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676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2010-05-31T09:12:00Z</dcterms:created>
  <dcterms:modified xsi:type="dcterms:W3CDTF">2010-05-31T09:41:00Z</dcterms:modified>
</cp:coreProperties>
</file>