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321" w:rsidRPr="00F24592" w:rsidRDefault="00F24592" w:rsidP="008C406D">
      <w:pPr>
        <w:spacing w:after="0"/>
        <w:rPr>
          <w:b/>
        </w:rPr>
      </w:pPr>
      <w:r w:rsidRPr="00F24592">
        <w:rPr>
          <w:b/>
        </w:rPr>
        <w:t>Projet l</w:t>
      </w:r>
      <w:r w:rsidR="00172BF7" w:rsidRPr="00F24592">
        <w:rPr>
          <w:b/>
        </w:rPr>
        <w:t>ettre de mission RAS</w:t>
      </w:r>
    </w:p>
    <w:p w:rsidR="00172BF7" w:rsidRDefault="00172BF7" w:rsidP="008C406D">
      <w:pPr>
        <w:spacing w:after="0"/>
      </w:pPr>
    </w:p>
    <w:p w:rsidR="00172BF7" w:rsidRDefault="00172BF7" w:rsidP="008C406D">
      <w:pPr>
        <w:spacing w:after="0"/>
      </w:pPr>
      <w:r>
        <w:t xml:space="preserve">A l’attention de Monsieur </w:t>
      </w:r>
      <w:proofErr w:type="spellStart"/>
      <w:r>
        <w:t>Dherbecourt</w:t>
      </w:r>
      <w:proofErr w:type="spellEnd"/>
    </w:p>
    <w:p w:rsidR="00172BF7" w:rsidRDefault="00172BF7" w:rsidP="008C406D">
      <w:pPr>
        <w:spacing w:after="0"/>
      </w:pPr>
      <w:bookmarkStart w:id="0" w:name="_GoBack"/>
      <w:bookmarkEnd w:id="0"/>
    </w:p>
    <w:p w:rsidR="00172BF7" w:rsidRDefault="00172BF7" w:rsidP="008C406D">
      <w:pPr>
        <w:spacing w:after="0"/>
      </w:pPr>
      <w:r>
        <w:t>Cher Monsieur,</w:t>
      </w:r>
    </w:p>
    <w:p w:rsidR="00172BF7" w:rsidRDefault="00172BF7" w:rsidP="008C406D">
      <w:pPr>
        <w:spacing w:after="0"/>
      </w:pPr>
    </w:p>
    <w:p w:rsidR="00172BF7" w:rsidRDefault="00172BF7" w:rsidP="008C406D">
      <w:pPr>
        <w:spacing w:after="0"/>
      </w:pPr>
      <w:r>
        <w:t>Pour faire suite à nos contacts et discussions, nous vous prions de trouver ci-après la proposition que nous sommes en mesure de vous faire pour accomplir auprès de vous et de la Société RAS une mission d’accompagnement dans le projet qui est le vôtre de cession de 100% des parts de la Société RAS.</w:t>
      </w:r>
    </w:p>
    <w:p w:rsidR="00172BF7" w:rsidRDefault="00172BF7" w:rsidP="008C406D">
      <w:pPr>
        <w:spacing w:after="0"/>
      </w:pPr>
    </w:p>
    <w:p w:rsidR="00172BF7" w:rsidRPr="008C406D" w:rsidRDefault="00172BF7" w:rsidP="008C406D">
      <w:pPr>
        <w:spacing w:after="0"/>
        <w:rPr>
          <w:b/>
        </w:rPr>
      </w:pPr>
      <w:r w:rsidRPr="008C406D">
        <w:rPr>
          <w:b/>
        </w:rPr>
        <w:t>1 – Contexte de la mission :</w:t>
      </w:r>
    </w:p>
    <w:p w:rsidR="00172BF7" w:rsidRDefault="00172BF7" w:rsidP="008C406D">
      <w:pPr>
        <w:spacing w:after="0"/>
      </w:pPr>
    </w:p>
    <w:p w:rsidR="002830BF" w:rsidRDefault="002830BF" w:rsidP="008C406D">
      <w:pPr>
        <w:spacing w:after="0"/>
      </w:pPr>
      <w:r>
        <w:t>Valorisation de la Société :</w:t>
      </w:r>
    </w:p>
    <w:p w:rsidR="00172BF7" w:rsidRDefault="00172BF7" w:rsidP="008C406D">
      <w:pPr>
        <w:spacing w:after="0"/>
      </w:pPr>
      <w:r>
        <w:t xml:space="preserve">La Société RAS que vous contrôlez et dirigez </w:t>
      </w:r>
      <w:r w:rsidR="003D50EC">
        <w:t xml:space="preserve">depuis plusieurs années </w:t>
      </w:r>
      <w:r w:rsidR="00FE2BBB">
        <w:t>présente les comptes joints en annexe de la présente (source : Société.com).</w:t>
      </w:r>
    </w:p>
    <w:p w:rsidR="00FE2BBB" w:rsidRDefault="00FE2BBB" w:rsidP="008C406D">
      <w:pPr>
        <w:spacing w:after="0"/>
      </w:pPr>
      <w:r>
        <w:t xml:space="preserve">Sa valorisation </w:t>
      </w:r>
      <w:r w:rsidR="002830BF">
        <w:t>sera probablement centrée autour des actifs inscrits au bilan, notamment les biens immobiliers et les équipements industriels.</w:t>
      </w:r>
    </w:p>
    <w:p w:rsidR="00FE2BBB" w:rsidRDefault="00FE2BBB" w:rsidP="008C406D">
      <w:pPr>
        <w:spacing w:after="0"/>
      </w:pPr>
    </w:p>
    <w:p w:rsidR="00FE2BBB" w:rsidRDefault="002830BF" w:rsidP="008C406D">
      <w:pPr>
        <w:spacing w:after="0"/>
      </w:pPr>
      <w:r>
        <w:t>Repreneurs potentiels :</w:t>
      </w:r>
    </w:p>
    <w:p w:rsidR="002830BF" w:rsidRDefault="002830BF" w:rsidP="008C406D">
      <w:pPr>
        <w:spacing w:after="0"/>
      </w:pPr>
      <w:r>
        <w:t>Compte tenu de la situation économique actuelle, les repreneurs potentiels sont à trouver au sein des 3 catégories suivantes :</w:t>
      </w:r>
    </w:p>
    <w:p w:rsidR="002830BF" w:rsidRDefault="002830BF" w:rsidP="008C406D">
      <w:pPr>
        <w:pStyle w:val="Paragraphedeliste"/>
        <w:numPr>
          <w:ilvl w:val="0"/>
          <w:numId w:val="1"/>
        </w:numPr>
        <w:spacing w:after="0"/>
      </w:pPr>
      <w:r>
        <w:t xml:space="preserve">Acteurs du secteur dont éventuellement des </w:t>
      </w:r>
      <w:r w:rsidRPr="007B4F0D">
        <w:rPr>
          <w:highlight w:val="yellow"/>
        </w:rPr>
        <w:t>con</w:t>
      </w:r>
      <w:r w:rsidR="00DF43B8" w:rsidRPr="007B4F0D">
        <w:rPr>
          <w:highlight w:val="yellow"/>
        </w:rPr>
        <w:t>frères</w:t>
      </w:r>
      <w:r>
        <w:t>,</w:t>
      </w:r>
    </w:p>
    <w:p w:rsidR="002830BF" w:rsidRDefault="002830BF" w:rsidP="008C406D">
      <w:pPr>
        <w:pStyle w:val="Paragraphedeliste"/>
        <w:numPr>
          <w:ilvl w:val="0"/>
          <w:numId w:val="1"/>
        </w:numPr>
        <w:spacing w:after="0"/>
      </w:pPr>
      <w:r>
        <w:t>« Porteurs de projet » soutenus par un/des fonds d’investissement,</w:t>
      </w:r>
    </w:p>
    <w:p w:rsidR="002830BF" w:rsidRDefault="002830BF" w:rsidP="008C406D">
      <w:pPr>
        <w:pStyle w:val="Paragraphedeliste"/>
        <w:numPr>
          <w:ilvl w:val="0"/>
          <w:numId w:val="1"/>
        </w:numPr>
        <w:spacing w:after="0"/>
      </w:pPr>
      <w:r>
        <w:t>Les salariés mêmes de l’entreprise soutenus aussi par un/des fonds d’investissement.</w:t>
      </w:r>
    </w:p>
    <w:p w:rsidR="002830BF" w:rsidRDefault="002830BF" w:rsidP="008C406D">
      <w:pPr>
        <w:spacing w:after="0"/>
      </w:pPr>
    </w:p>
    <w:p w:rsidR="002830BF" w:rsidRPr="008C406D" w:rsidRDefault="002830BF" w:rsidP="008C406D">
      <w:pPr>
        <w:spacing w:after="0"/>
        <w:rPr>
          <w:b/>
        </w:rPr>
      </w:pPr>
      <w:r w:rsidRPr="008C406D">
        <w:rPr>
          <w:b/>
        </w:rPr>
        <w:t>2 – Objet de la mission :</w:t>
      </w:r>
    </w:p>
    <w:p w:rsidR="008C406D" w:rsidRDefault="008C406D" w:rsidP="008C406D">
      <w:pPr>
        <w:spacing w:after="0"/>
        <w:ind w:right="70"/>
      </w:pPr>
    </w:p>
    <w:p w:rsidR="00FE57F8" w:rsidRDefault="00FE57F8" w:rsidP="008C406D">
      <w:pPr>
        <w:spacing w:after="0"/>
        <w:ind w:right="70"/>
      </w:pPr>
      <w:r>
        <w:t>La mission comporte 2 chantiers qui seront menés en parallèle :</w:t>
      </w:r>
    </w:p>
    <w:p w:rsidR="00FE57F8" w:rsidRDefault="00FE57F8" w:rsidP="008C406D">
      <w:pPr>
        <w:numPr>
          <w:ilvl w:val="0"/>
          <w:numId w:val="4"/>
        </w:numPr>
        <w:spacing w:after="0" w:line="240" w:lineRule="auto"/>
        <w:ind w:right="70"/>
      </w:pPr>
      <w:r>
        <w:t>assistance à la préparation de</w:t>
      </w:r>
      <w:r w:rsidR="008C406D">
        <w:t xml:space="preserve">s outils de présentation de la </w:t>
      </w:r>
      <w:r>
        <w:t>Société</w:t>
      </w:r>
      <w:r w:rsidR="008C406D">
        <w:t>.</w:t>
      </w:r>
    </w:p>
    <w:p w:rsidR="00FE57F8" w:rsidRDefault="00FE57F8" w:rsidP="008C406D">
      <w:pPr>
        <w:numPr>
          <w:ilvl w:val="0"/>
          <w:numId w:val="4"/>
        </w:numPr>
        <w:spacing w:after="0" w:line="240" w:lineRule="auto"/>
        <w:ind w:right="70"/>
      </w:pPr>
      <w:r>
        <w:t xml:space="preserve">assistance à la </w:t>
      </w:r>
      <w:r w:rsidR="008C406D">
        <w:t>recherche de et à la négociation avec les repreneurs potentiels dans les catégories ciblées ci-dessus.</w:t>
      </w:r>
    </w:p>
    <w:p w:rsidR="00FE57F8" w:rsidRDefault="00FE57F8" w:rsidP="008C406D">
      <w:pPr>
        <w:spacing w:after="0"/>
        <w:ind w:right="70"/>
      </w:pPr>
    </w:p>
    <w:p w:rsidR="00FE57F8" w:rsidRPr="00E31778" w:rsidRDefault="008C406D" w:rsidP="008C406D">
      <w:pPr>
        <w:spacing w:after="0"/>
        <w:ind w:right="70"/>
        <w:rPr>
          <w:b/>
          <w:bCs/>
        </w:rPr>
      </w:pPr>
      <w:r>
        <w:rPr>
          <w:b/>
          <w:bCs/>
        </w:rPr>
        <w:t>3</w:t>
      </w:r>
      <w:r w:rsidR="00FE57F8" w:rsidRPr="00E31778">
        <w:rPr>
          <w:b/>
          <w:bCs/>
        </w:rPr>
        <w:t xml:space="preserve"> –</w:t>
      </w:r>
      <w:r w:rsidR="00FE57F8">
        <w:rPr>
          <w:b/>
          <w:bCs/>
        </w:rPr>
        <w:t xml:space="preserve"> Présentation</w:t>
      </w:r>
      <w:r w:rsidR="00FE57F8" w:rsidRPr="00E31778">
        <w:rPr>
          <w:b/>
          <w:bCs/>
        </w:rPr>
        <w:t xml:space="preserve"> des intervenants</w:t>
      </w:r>
      <w:r w:rsidR="00FE57F8">
        <w:rPr>
          <w:b/>
          <w:bCs/>
        </w:rPr>
        <w:t xml:space="preserve"> (voir CV en annexe)</w:t>
      </w:r>
      <w:r w:rsidR="00FE57F8" w:rsidRPr="00E31778">
        <w:rPr>
          <w:b/>
          <w:bCs/>
        </w:rPr>
        <w:t> :</w:t>
      </w:r>
    </w:p>
    <w:p w:rsidR="00FE57F8" w:rsidRDefault="00FE57F8" w:rsidP="008C406D">
      <w:pPr>
        <w:spacing w:after="0"/>
        <w:ind w:right="70"/>
      </w:pPr>
      <w:r w:rsidRPr="00066AE2">
        <w:rPr>
          <w:b/>
          <w:bCs/>
        </w:rPr>
        <w:t>Jean Saint-Cricq :</w:t>
      </w:r>
      <w:r>
        <w:t xml:space="preserve"> HEC</w:t>
      </w:r>
      <w:r w:rsidR="008C406D">
        <w:t xml:space="preserve"> (1971)</w:t>
      </w:r>
      <w:r>
        <w:t>, Master d’Ingénierie Financière et gestion de Patrimoine (2009). Carrière de créateur et chef d’entreprises dans les domaines pharmaceutiques et parapharmaceutiques. Grande expérience des cessions-acquisitions. Ancien Conseiller de la Banque de France.</w:t>
      </w:r>
    </w:p>
    <w:p w:rsidR="00FE57F8" w:rsidRDefault="00FE57F8" w:rsidP="008C406D">
      <w:pPr>
        <w:spacing w:after="0"/>
        <w:ind w:right="70"/>
      </w:pPr>
    </w:p>
    <w:p w:rsidR="008C406D" w:rsidRPr="00DF43B8" w:rsidRDefault="007B4F0D" w:rsidP="00DF43B8">
      <w:pPr>
        <w:spacing w:after="0"/>
        <w:ind w:right="70"/>
        <w:jc w:val="both"/>
        <w:rPr>
          <w:b/>
          <w:bCs/>
        </w:rPr>
      </w:pPr>
      <w:r w:rsidRPr="000665B1">
        <w:rPr>
          <w:b/>
          <w:bCs/>
          <w:highlight w:val="yellow"/>
        </w:rPr>
        <w:t>Evelyne Re</w:t>
      </w:r>
      <w:r w:rsidR="00FE57F8" w:rsidRPr="000665B1">
        <w:rPr>
          <w:b/>
          <w:bCs/>
          <w:highlight w:val="yellow"/>
        </w:rPr>
        <w:t>vellat :</w:t>
      </w:r>
      <w:r w:rsidR="00DF43B8" w:rsidRPr="000665B1">
        <w:rPr>
          <w:rFonts w:cstheme="minorHAnsi"/>
          <w:b/>
          <w:bCs/>
          <w:highlight w:val="yellow"/>
        </w:rPr>
        <w:t xml:space="preserve"> </w:t>
      </w:r>
      <w:r w:rsidR="00DF43B8" w:rsidRPr="000665B1">
        <w:rPr>
          <w:rFonts w:cstheme="minorHAnsi"/>
          <w:highlight w:val="yellow"/>
        </w:rPr>
        <w:t>Diplômée de l’ESC Grenoble, G.E.M. (Grenoble Ecole de Management),</w:t>
      </w:r>
      <w:r w:rsidR="00DF43B8" w:rsidRPr="000665B1">
        <w:rPr>
          <w:rFonts w:cstheme="minorHAnsi"/>
          <w:color w:val="2E3031"/>
          <w:highlight w:val="yellow"/>
        </w:rPr>
        <w:t xml:space="preserve"> a développé sa carrière opérationnelle</w:t>
      </w:r>
      <w:r w:rsidR="00DF43B8" w:rsidRPr="000665B1">
        <w:rPr>
          <w:rFonts w:cstheme="minorHAnsi"/>
          <w:highlight w:val="yellow"/>
        </w:rPr>
        <w:t xml:space="preserve"> chez Hewlett-Packard, </w:t>
      </w:r>
      <w:r w:rsidR="00DF43B8" w:rsidRPr="000665B1">
        <w:rPr>
          <w:rFonts w:cstheme="minorHAnsi"/>
          <w:color w:val="2E3031"/>
          <w:highlight w:val="yellow"/>
        </w:rPr>
        <w:t xml:space="preserve">où elle a successivement occupé des postes de </w:t>
      </w:r>
      <w:r w:rsidR="00DF43B8" w:rsidRPr="000665B1">
        <w:rPr>
          <w:rFonts w:cstheme="minorHAnsi"/>
          <w:b/>
          <w:bCs/>
          <w:color w:val="2E3031"/>
          <w:highlight w:val="yellow"/>
        </w:rPr>
        <w:t>Responsable des Ressources Humaines</w:t>
      </w:r>
      <w:r w:rsidR="00DF43B8" w:rsidRPr="000665B1">
        <w:rPr>
          <w:rFonts w:cstheme="minorHAnsi"/>
          <w:color w:val="2E3031"/>
          <w:highlight w:val="yellow"/>
        </w:rPr>
        <w:t xml:space="preserve"> , puis de </w:t>
      </w:r>
      <w:r w:rsidR="00DF43B8" w:rsidRPr="000665B1">
        <w:rPr>
          <w:rFonts w:cstheme="minorHAnsi"/>
          <w:b/>
          <w:bCs/>
          <w:color w:val="2E3031"/>
          <w:highlight w:val="yellow"/>
        </w:rPr>
        <w:t xml:space="preserve">chef de produit informatique. </w:t>
      </w:r>
      <w:r w:rsidR="00DF43B8" w:rsidRPr="000665B1">
        <w:rPr>
          <w:rFonts w:cstheme="minorHAnsi"/>
          <w:highlight w:val="yellow"/>
        </w:rPr>
        <w:t xml:space="preserve">Chez Etam (mode) elle a en charge le coaching interne des cadres et la mise en place des plans de relèves des postes clés. En 2000, elle crée son activité indépendante en tant que spécialiste de communication et de relations humaines. Elle accompagne les dirigeants dans le développement </w:t>
      </w:r>
      <w:r w:rsidR="00DF43B8" w:rsidRPr="000665B1">
        <w:rPr>
          <w:rFonts w:cstheme="minorHAnsi"/>
          <w:highlight w:val="yellow"/>
        </w:rPr>
        <w:lastRenderedPageBreak/>
        <w:t xml:space="preserve">stratégique de leur entreprise et se spécialise dans le coaching de leur projet de cession. </w:t>
      </w:r>
      <w:r w:rsidR="00DF43B8" w:rsidRPr="000665B1">
        <w:rPr>
          <w:rFonts w:cstheme="minorHAnsi"/>
          <w:color w:val="2E3031"/>
          <w:highlight w:val="yellow"/>
        </w:rPr>
        <w:t>Parallèlement, elle développe ses techniques de communication et d'ac</w:t>
      </w:r>
      <w:r w:rsidR="00DF43B8" w:rsidRPr="000665B1">
        <w:rPr>
          <w:rFonts w:eastAsia="Times New Roman" w:cstheme="minorHAnsi"/>
          <w:color w:val="2E3031"/>
          <w:highlight w:val="yellow"/>
        </w:rPr>
        <w:t xml:space="preserve">compagnement dynamique des équipes </w:t>
      </w:r>
      <w:r w:rsidR="00DF43B8" w:rsidRPr="000665B1">
        <w:rPr>
          <w:rFonts w:cstheme="minorHAnsi"/>
          <w:color w:val="2E3031"/>
          <w:highlight w:val="yellow"/>
        </w:rPr>
        <w:t>pour motiver et fédérer les salariés autour des projets stratégiques de Direction.</w:t>
      </w:r>
      <w:r w:rsidR="00DF43B8" w:rsidRPr="00DF43B8">
        <w:rPr>
          <w:rFonts w:cstheme="minorHAnsi"/>
          <w:color w:val="2E3031"/>
        </w:rPr>
        <w:t xml:space="preserve"> </w:t>
      </w:r>
    </w:p>
    <w:p w:rsidR="00DF43B8" w:rsidRDefault="00DF43B8" w:rsidP="008C406D">
      <w:pPr>
        <w:spacing w:after="0"/>
        <w:ind w:right="70"/>
        <w:rPr>
          <w:b/>
          <w:bCs/>
        </w:rPr>
      </w:pPr>
    </w:p>
    <w:p w:rsidR="00FE57F8" w:rsidRDefault="008C406D" w:rsidP="008C406D">
      <w:pPr>
        <w:spacing w:after="0"/>
        <w:ind w:right="70"/>
        <w:rPr>
          <w:b/>
          <w:bCs/>
        </w:rPr>
      </w:pPr>
      <w:r>
        <w:rPr>
          <w:b/>
          <w:bCs/>
        </w:rPr>
        <w:t>Olivier Lambotte :</w:t>
      </w:r>
    </w:p>
    <w:p w:rsidR="008C406D" w:rsidRPr="008C406D" w:rsidRDefault="008C406D" w:rsidP="008C406D">
      <w:pPr>
        <w:spacing w:after="0"/>
        <w:rPr>
          <w:bCs/>
        </w:rPr>
      </w:pPr>
    </w:p>
    <w:p w:rsidR="008C406D" w:rsidRPr="008C406D" w:rsidRDefault="008C406D" w:rsidP="008C406D">
      <w:pPr>
        <w:spacing w:after="0"/>
        <w:rPr>
          <w:bCs/>
        </w:rPr>
      </w:pPr>
      <w:r w:rsidRPr="008C406D">
        <w:rPr>
          <w:bCs/>
        </w:rPr>
        <w:t>(…)</w:t>
      </w:r>
    </w:p>
    <w:p w:rsidR="008C406D" w:rsidRPr="008C406D" w:rsidRDefault="008C406D" w:rsidP="008C406D">
      <w:pPr>
        <w:spacing w:after="0"/>
        <w:rPr>
          <w:bCs/>
        </w:rPr>
      </w:pPr>
    </w:p>
    <w:p w:rsidR="00FE57F8" w:rsidRPr="008956A4" w:rsidRDefault="008C406D" w:rsidP="008C406D">
      <w:pPr>
        <w:spacing w:after="0"/>
        <w:ind w:right="70"/>
        <w:rPr>
          <w:b/>
          <w:bCs/>
        </w:rPr>
      </w:pPr>
      <w:r>
        <w:rPr>
          <w:b/>
          <w:bCs/>
        </w:rPr>
        <w:t>4</w:t>
      </w:r>
      <w:r w:rsidR="00FE57F8" w:rsidRPr="008956A4">
        <w:rPr>
          <w:b/>
          <w:bCs/>
        </w:rPr>
        <w:t xml:space="preserve"> – Conduite d</w:t>
      </w:r>
      <w:r w:rsidR="00FE57F8">
        <w:rPr>
          <w:b/>
          <w:bCs/>
        </w:rPr>
        <w:t>e la mission</w:t>
      </w:r>
      <w:r w:rsidR="00FE57F8" w:rsidRPr="008956A4">
        <w:rPr>
          <w:b/>
          <w:bCs/>
        </w:rPr>
        <w:t> :</w:t>
      </w:r>
    </w:p>
    <w:p w:rsidR="00FE57F8" w:rsidRDefault="00FE57F8" w:rsidP="008C406D">
      <w:pPr>
        <w:spacing w:after="0"/>
        <w:ind w:right="70"/>
      </w:pPr>
      <w:r>
        <w:t xml:space="preserve">L’objectif étant d’obtenir </w:t>
      </w:r>
      <w:r w:rsidR="008C406D">
        <w:t>pour les actionnaires actuels un</w:t>
      </w:r>
      <w:r>
        <w:t xml:space="preserve"> prix de vente</w:t>
      </w:r>
      <w:r w:rsidRPr="008C406D">
        <w:t xml:space="preserve"> </w:t>
      </w:r>
      <w:r w:rsidR="008C406D" w:rsidRPr="008C406D">
        <w:t xml:space="preserve">satisfaisant à </w:t>
      </w:r>
      <w:r w:rsidRPr="008C406D">
        <w:t>défini</w:t>
      </w:r>
      <w:r w:rsidR="008C406D" w:rsidRPr="008C406D">
        <w:t>r ensemble,</w:t>
      </w:r>
      <w:r>
        <w:t xml:space="preserve"> la mission sera accomplie selon le programme suivant :</w:t>
      </w:r>
    </w:p>
    <w:p w:rsidR="00FE57F8" w:rsidRDefault="00FE57F8" w:rsidP="008C406D">
      <w:pPr>
        <w:spacing w:after="0"/>
        <w:ind w:right="70"/>
      </w:pPr>
    </w:p>
    <w:p w:rsidR="00FE57F8" w:rsidRDefault="00FE57F8" w:rsidP="008C406D">
      <w:pPr>
        <w:spacing w:after="0"/>
        <w:ind w:right="70"/>
        <w:rPr>
          <w:b/>
          <w:bCs/>
        </w:rPr>
      </w:pPr>
      <w:r w:rsidRPr="00E31778">
        <w:rPr>
          <w:b/>
          <w:bCs/>
        </w:rPr>
        <w:t>Première partie :</w:t>
      </w:r>
      <w:r>
        <w:rPr>
          <w:b/>
          <w:bCs/>
        </w:rPr>
        <w:t xml:space="preserve"> préparation de</w:t>
      </w:r>
      <w:r w:rsidR="008C406D">
        <w:rPr>
          <w:b/>
          <w:bCs/>
        </w:rPr>
        <w:t>s outils de présentation</w:t>
      </w:r>
      <w:r>
        <w:rPr>
          <w:b/>
          <w:bCs/>
        </w:rPr>
        <w:t> :</w:t>
      </w:r>
    </w:p>
    <w:p w:rsidR="008C406D" w:rsidRPr="00E31778" w:rsidRDefault="008C406D" w:rsidP="008C406D">
      <w:pPr>
        <w:spacing w:after="0"/>
        <w:ind w:right="70"/>
        <w:rPr>
          <w:b/>
          <w:bCs/>
        </w:rPr>
      </w:pPr>
    </w:p>
    <w:p w:rsidR="00FE57F8" w:rsidRDefault="00FE57F8" w:rsidP="008C406D">
      <w:pPr>
        <w:numPr>
          <w:ilvl w:val="0"/>
          <w:numId w:val="3"/>
        </w:numPr>
        <w:spacing w:after="0" w:line="240" w:lineRule="auto"/>
        <w:ind w:right="70"/>
      </w:pPr>
      <w:r>
        <w:t>évaluation et va</w:t>
      </w:r>
      <w:r w:rsidR="008C406D">
        <w:t>lorisation de la Société en 2011-2012</w:t>
      </w:r>
      <w:r>
        <w:t>,</w:t>
      </w:r>
      <w:r w:rsidR="008C406D">
        <w:t xml:space="preserve"> ce qui implique la préparation et la mise en place d’un Business Plan chiffré à 5 ans,</w:t>
      </w:r>
    </w:p>
    <w:p w:rsidR="00FE57F8" w:rsidRDefault="00FE57F8" w:rsidP="008C406D">
      <w:pPr>
        <w:numPr>
          <w:ilvl w:val="0"/>
          <w:numId w:val="3"/>
        </w:numPr>
        <w:spacing w:after="0" w:line="240" w:lineRule="auto"/>
        <w:ind w:right="70"/>
      </w:pPr>
      <w:r>
        <w:t>rédaction d’un memorandum de présentation,</w:t>
      </w:r>
    </w:p>
    <w:p w:rsidR="009C6E6F" w:rsidRDefault="009C6E6F" w:rsidP="008C406D">
      <w:pPr>
        <w:numPr>
          <w:ilvl w:val="0"/>
          <w:numId w:val="3"/>
        </w:numPr>
        <w:spacing w:after="0" w:line="240" w:lineRule="auto"/>
        <w:ind w:right="70"/>
      </w:pPr>
      <w:r>
        <w:t>idem « feuille de clauses vendeur »,</w:t>
      </w:r>
    </w:p>
    <w:p w:rsidR="00FE57F8" w:rsidRDefault="008C406D" w:rsidP="008C406D">
      <w:pPr>
        <w:numPr>
          <w:ilvl w:val="0"/>
          <w:numId w:val="3"/>
        </w:numPr>
        <w:spacing w:after="0" w:line="240" w:lineRule="auto"/>
        <w:ind w:right="70"/>
      </w:pPr>
      <w:r>
        <w:t>idem « note aveugle » de prospection,</w:t>
      </w:r>
    </w:p>
    <w:p w:rsidR="009C6E6F" w:rsidRDefault="009C6E6F" w:rsidP="008C406D">
      <w:pPr>
        <w:numPr>
          <w:ilvl w:val="0"/>
          <w:numId w:val="3"/>
        </w:numPr>
        <w:spacing w:after="0" w:line="240" w:lineRule="auto"/>
        <w:ind w:right="70"/>
      </w:pPr>
      <w:r>
        <w:t>idem « teaser »,</w:t>
      </w:r>
    </w:p>
    <w:p w:rsidR="008C406D" w:rsidRDefault="008C406D" w:rsidP="008C406D">
      <w:pPr>
        <w:numPr>
          <w:ilvl w:val="0"/>
          <w:numId w:val="3"/>
        </w:numPr>
        <w:spacing w:after="0" w:line="240" w:lineRule="auto"/>
        <w:ind w:right="70"/>
      </w:pPr>
      <w:r>
        <w:t xml:space="preserve">idem </w:t>
      </w:r>
      <w:r w:rsidR="009C6E6F">
        <w:t>« </w:t>
      </w:r>
      <w:r>
        <w:t>accord de confidentialité</w:t>
      </w:r>
      <w:r w:rsidR="009C6E6F">
        <w:t> »</w:t>
      </w:r>
      <w:r>
        <w:t>,</w:t>
      </w:r>
    </w:p>
    <w:p w:rsidR="008C406D" w:rsidRDefault="008C406D" w:rsidP="008C406D">
      <w:pPr>
        <w:numPr>
          <w:ilvl w:val="0"/>
          <w:numId w:val="3"/>
        </w:numPr>
        <w:spacing w:after="0" w:line="240" w:lineRule="auto"/>
        <w:ind w:right="70"/>
      </w:pPr>
      <w:r>
        <w:t xml:space="preserve">idem </w:t>
      </w:r>
      <w:r w:rsidR="009C6E6F">
        <w:t xml:space="preserve">« note sur </w:t>
      </w:r>
      <w:r>
        <w:t xml:space="preserve">processus de </w:t>
      </w:r>
      <w:r w:rsidR="009C6E6F">
        <w:t>vente ».</w:t>
      </w:r>
    </w:p>
    <w:p w:rsidR="009C6E6F" w:rsidRDefault="009C6E6F" w:rsidP="008C406D">
      <w:pPr>
        <w:numPr>
          <w:ilvl w:val="0"/>
          <w:numId w:val="3"/>
        </w:numPr>
        <w:spacing w:after="0" w:line="240" w:lineRule="auto"/>
        <w:ind w:right="70"/>
      </w:pPr>
      <w:r>
        <w:t>Préparation d’un fichier de prospection,</w:t>
      </w:r>
    </w:p>
    <w:p w:rsidR="009C6E6F" w:rsidRDefault="009C6E6F" w:rsidP="008C406D">
      <w:pPr>
        <w:numPr>
          <w:ilvl w:val="0"/>
          <w:numId w:val="3"/>
        </w:numPr>
        <w:spacing w:after="0" w:line="240" w:lineRule="auto"/>
        <w:ind w:right="70"/>
      </w:pPr>
      <w:r>
        <w:t>Préparation d’un « </w:t>
      </w:r>
      <w:proofErr w:type="spellStart"/>
      <w:r>
        <w:t>reporting</w:t>
      </w:r>
      <w:proofErr w:type="spellEnd"/>
      <w:r>
        <w:t> » de suivi de l’entreprise sur la durée de la négociation.</w:t>
      </w:r>
    </w:p>
    <w:p w:rsidR="00FE57F8" w:rsidRDefault="00FE57F8" w:rsidP="008C406D">
      <w:pPr>
        <w:spacing w:after="0"/>
        <w:ind w:right="70"/>
      </w:pPr>
    </w:p>
    <w:p w:rsidR="00FE57F8" w:rsidRDefault="00FE57F8" w:rsidP="008C406D">
      <w:pPr>
        <w:spacing w:after="0"/>
        <w:ind w:right="70"/>
        <w:rPr>
          <w:b/>
          <w:bCs/>
        </w:rPr>
      </w:pPr>
      <w:r>
        <w:rPr>
          <w:b/>
          <w:bCs/>
        </w:rPr>
        <w:t xml:space="preserve">Deuxième </w:t>
      </w:r>
      <w:r w:rsidRPr="00907EF3">
        <w:rPr>
          <w:b/>
          <w:bCs/>
        </w:rPr>
        <w:t>partie :</w:t>
      </w:r>
      <w:r>
        <w:rPr>
          <w:b/>
          <w:bCs/>
        </w:rPr>
        <w:t xml:space="preserve"> sélection et approche d’acquéreurs potentiels :</w:t>
      </w:r>
    </w:p>
    <w:p w:rsidR="009C6E6F" w:rsidRPr="00907EF3" w:rsidRDefault="009C6E6F" w:rsidP="008C406D">
      <w:pPr>
        <w:spacing w:after="0"/>
        <w:ind w:right="70"/>
        <w:rPr>
          <w:b/>
          <w:bCs/>
        </w:rPr>
      </w:pPr>
    </w:p>
    <w:p w:rsidR="00FE57F8" w:rsidRDefault="009C6E6F" w:rsidP="008C406D">
      <w:pPr>
        <w:numPr>
          <w:ilvl w:val="0"/>
          <w:numId w:val="2"/>
        </w:numPr>
        <w:spacing w:after="0" w:line="240" w:lineRule="auto"/>
        <w:ind w:right="70"/>
      </w:pPr>
      <w:r>
        <w:t>I</w:t>
      </w:r>
      <w:r w:rsidR="00FE57F8">
        <w:t>dentification</w:t>
      </w:r>
      <w:r>
        <w:t xml:space="preserve"> nominative</w:t>
      </w:r>
      <w:r w:rsidR="00FE57F8">
        <w:t xml:space="preserve"> des « cibles » d’investisseurs susceptibles d’être intéressés par l’entreprise (industriels, fonds d’investissements « </w:t>
      </w:r>
      <w:proofErr w:type="spellStart"/>
      <w:r w:rsidR="00FE57F8">
        <w:t>private</w:t>
      </w:r>
      <w:proofErr w:type="spellEnd"/>
      <w:r w:rsidR="00FE57F8">
        <w:t xml:space="preserve"> </w:t>
      </w:r>
      <w:proofErr w:type="spellStart"/>
      <w:r w:rsidR="00FE57F8">
        <w:t>equity</w:t>
      </w:r>
      <w:proofErr w:type="spellEnd"/>
      <w:r w:rsidR="00FE57F8">
        <w:t> », Tour de Table diversifié,</w:t>
      </w:r>
      <w:r>
        <w:t xml:space="preserve"> salariés</w:t>
      </w:r>
      <w:r w:rsidR="00FE57F8">
        <w:t xml:space="preserve"> …).</w:t>
      </w:r>
    </w:p>
    <w:p w:rsidR="00FE57F8" w:rsidRDefault="00FE57F8" w:rsidP="008C406D">
      <w:pPr>
        <w:numPr>
          <w:ilvl w:val="0"/>
          <w:numId w:val="2"/>
        </w:numPr>
        <w:spacing w:after="0" w:line="240" w:lineRule="auto"/>
        <w:ind w:right="70"/>
      </w:pPr>
      <w:r>
        <w:t>prise de contact avec ces cibles et première présentation de la Société,</w:t>
      </w:r>
    </w:p>
    <w:p w:rsidR="00FE57F8" w:rsidRDefault="00FE57F8" w:rsidP="008C406D">
      <w:pPr>
        <w:numPr>
          <w:ilvl w:val="0"/>
          <w:numId w:val="2"/>
        </w:numPr>
        <w:spacing w:after="0" w:line="240" w:lineRule="auto"/>
        <w:ind w:right="70"/>
      </w:pPr>
      <w:r>
        <w:t>obtention de lettres d’intention.</w:t>
      </w:r>
    </w:p>
    <w:p w:rsidR="00FE57F8" w:rsidRDefault="00FE57F8" w:rsidP="008C406D">
      <w:pPr>
        <w:spacing w:after="0"/>
        <w:ind w:left="360" w:right="70"/>
      </w:pPr>
    </w:p>
    <w:p w:rsidR="00FE57F8" w:rsidRDefault="00FE57F8" w:rsidP="008C406D">
      <w:pPr>
        <w:spacing w:after="0"/>
        <w:ind w:right="70"/>
      </w:pPr>
      <w:r>
        <w:rPr>
          <w:b/>
          <w:bCs/>
        </w:rPr>
        <w:t>Troisième</w:t>
      </w:r>
      <w:r w:rsidRPr="00907EF3">
        <w:rPr>
          <w:b/>
          <w:bCs/>
        </w:rPr>
        <w:t xml:space="preserve"> partie</w:t>
      </w:r>
      <w:r>
        <w:t> : assistance à la négociation.</w:t>
      </w:r>
    </w:p>
    <w:p w:rsidR="009C6E6F" w:rsidRDefault="009C6E6F" w:rsidP="008C406D">
      <w:pPr>
        <w:spacing w:after="0"/>
        <w:ind w:right="70"/>
      </w:pPr>
    </w:p>
    <w:p w:rsidR="00FE57F8" w:rsidRDefault="00FE57F8" w:rsidP="008C406D">
      <w:pPr>
        <w:numPr>
          <w:ilvl w:val="0"/>
          <w:numId w:val="5"/>
        </w:numPr>
        <w:spacing w:after="0" w:line="240" w:lineRule="auto"/>
        <w:ind w:right="70"/>
      </w:pPr>
      <w:r>
        <w:t>Négociation d’une « term sheet » avec ces Investisseurs,</w:t>
      </w:r>
    </w:p>
    <w:p w:rsidR="00FE57F8" w:rsidRDefault="00FE57F8" w:rsidP="008C406D">
      <w:pPr>
        <w:numPr>
          <w:ilvl w:val="0"/>
          <w:numId w:val="5"/>
        </w:numPr>
        <w:spacing w:after="0" w:line="240" w:lineRule="auto"/>
        <w:ind w:right="70"/>
      </w:pPr>
      <w:r>
        <w:t>Maîtrise et organisation du cadre des audits (notamment data room et sa gestion),</w:t>
      </w:r>
    </w:p>
    <w:p w:rsidR="00FE57F8" w:rsidRDefault="00FE57F8" w:rsidP="008C406D">
      <w:pPr>
        <w:numPr>
          <w:ilvl w:val="0"/>
          <w:numId w:val="5"/>
        </w:numPr>
        <w:spacing w:after="0" w:line="240" w:lineRule="auto"/>
        <w:ind w:right="70"/>
      </w:pPr>
      <w:r>
        <w:t>Assistance à la rédaction des protocoles (cession, garanties actifs passifs) et contrats annexes,</w:t>
      </w:r>
    </w:p>
    <w:p w:rsidR="00FE57F8" w:rsidRDefault="00FE57F8" w:rsidP="008C406D">
      <w:pPr>
        <w:numPr>
          <w:ilvl w:val="0"/>
          <w:numId w:val="5"/>
        </w:numPr>
        <w:spacing w:after="0" w:line="240" w:lineRule="auto"/>
        <w:ind w:right="70"/>
      </w:pPr>
      <w:r>
        <w:t>Supervision de la « réalisation » jusqu’à bonne fin.</w:t>
      </w:r>
    </w:p>
    <w:p w:rsidR="00FE57F8" w:rsidRDefault="00FE57F8" w:rsidP="008C406D">
      <w:pPr>
        <w:spacing w:after="0"/>
        <w:ind w:right="70"/>
      </w:pPr>
    </w:p>
    <w:p w:rsidR="007B4F0D" w:rsidRPr="000665B1" w:rsidRDefault="007B4F0D" w:rsidP="007B4F0D">
      <w:pPr>
        <w:spacing w:after="0" w:line="240" w:lineRule="auto"/>
        <w:ind w:right="70"/>
        <w:rPr>
          <w:highlight w:val="yellow"/>
        </w:rPr>
      </w:pPr>
      <w:r w:rsidRPr="000665B1">
        <w:rPr>
          <w:b/>
          <w:highlight w:val="yellow"/>
        </w:rPr>
        <w:t>Quatrième partie :</w:t>
      </w:r>
      <w:r w:rsidRPr="000665B1">
        <w:rPr>
          <w:highlight w:val="yellow"/>
        </w:rPr>
        <w:t xml:space="preserve"> Assistance </w:t>
      </w:r>
      <w:r w:rsidRPr="000665B1">
        <w:rPr>
          <w:rFonts w:ascii="Calibri" w:eastAsia="Calibri" w:hAnsi="Calibri" w:cs="Times New Roman"/>
          <w:highlight w:val="yellow"/>
        </w:rPr>
        <w:t>« </w:t>
      </w:r>
      <w:r w:rsidR="000665B1" w:rsidRPr="000665B1">
        <w:rPr>
          <w:rFonts w:ascii="Calibri" w:eastAsia="Calibri" w:hAnsi="Calibri" w:cs="Times New Roman"/>
          <w:highlight w:val="yellow"/>
        </w:rPr>
        <w:t>managérial</w:t>
      </w:r>
      <w:r w:rsidR="000665B1" w:rsidRPr="000665B1">
        <w:rPr>
          <w:highlight w:val="yellow"/>
        </w:rPr>
        <w:t>e</w:t>
      </w:r>
      <w:r w:rsidRPr="000665B1">
        <w:rPr>
          <w:rFonts w:ascii="Calibri" w:eastAsia="Calibri" w:hAnsi="Calibri" w:cs="Times New Roman"/>
          <w:highlight w:val="yellow"/>
        </w:rPr>
        <w:t xml:space="preserve"> », </w:t>
      </w:r>
    </w:p>
    <w:p w:rsidR="007B4F0D" w:rsidRPr="000665B1" w:rsidRDefault="007B4F0D" w:rsidP="007B4F0D">
      <w:pPr>
        <w:pStyle w:val="Paragraphedeliste"/>
        <w:numPr>
          <w:ilvl w:val="0"/>
          <w:numId w:val="1"/>
        </w:numPr>
        <w:spacing w:after="0" w:line="240" w:lineRule="auto"/>
        <w:ind w:right="70"/>
        <w:rPr>
          <w:rFonts w:ascii="Calibri" w:eastAsia="Calibri" w:hAnsi="Calibri" w:cs="Times New Roman"/>
          <w:highlight w:val="yellow"/>
        </w:rPr>
      </w:pPr>
      <w:r w:rsidRPr="000665B1">
        <w:rPr>
          <w:highlight w:val="yellow"/>
        </w:rPr>
        <w:t>V</w:t>
      </w:r>
      <w:r w:rsidRPr="000665B1">
        <w:rPr>
          <w:rFonts w:ascii="Calibri" w:eastAsia="Calibri" w:hAnsi="Calibri" w:cs="Times New Roman"/>
          <w:highlight w:val="yellow"/>
        </w:rPr>
        <w:t>ise</w:t>
      </w:r>
      <w:r w:rsidRPr="000665B1">
        <w:rPr>
          <w:highlight w:val="yellow"/>
        </w:rPr>
        <w:t>, en collaboration avec vous-même,</w:t>
      </w:r>
      <w:r w:rsidRPr="000665B1">
        <w:rPr>
          <w:rFonts w:ascii="Calibri" w:eastAsia="Calibri" w:hAnsi="Calibri" w:cs="Times New Roman"/>
          <w:highlight w:val="yellow"/>
        </w:rPr>
        <w:t xml:space="preserve"> </w:t>
      </w:r>
      <w:r w:rsidR="000665B1" w:rsidRPr="000665B1">
        <w:rPr>
          <w:rFonts w:ascii="Calibri" w:eastAsia="Calibri" w:hAnsi="Calibri" w:cs="Times New Roman"/>
          <w:highlight w:val="yellow"/>
        </w:rPr>
        <w:t xml:space="preserve">d'une part </w:t>
      </w:r>
      <w:r w:rsidRPr="000665B1">
        <w:rPr>
          <w:highlight w:val="yellow"/>
        </w:rPr>
        <w:t xml:space="preserve">à </w:t>
      </w:r>
      <w:r w:rsidRPr="000665B1">
        <w:rPr>
          <w:rFonts w:ascii="Calibri" w:eastAsia="Calibri" w:hAnsi="Calibri" w:cs="Times New Roman"/>
          <w:highlight w:val="yellow"/>
        </w:rPr>
        <w:t>mobilis</w:t>
      </w:r>
      <w:r w:rsidRPr="000665B1">
        <w:rPr>
          <w:highlight w:val="yellow"/>
        </w:rPr>
        <w:t>er</w:t>
      </w:r>
      <w:r w:rsidRPr="000665B1">
        <w:rPr>
          <w:rFonts w:ascii="Calibri" w:eastAsia="Calibri" w:hAnsi="Calibri" w:cs="Times New Roman"/>
          <w:highlight w:val="yellow"/>
        </w:rPr>
        <w:t xml:space="preserve"> les ressources intellectuelles et d’expérience de votre équipe, et d’autre part à fédérer cette même équipe autour de ce projet.</w:t>
      </w:r>
    </w:p>
    <w:p w:rsidR="000665B1" w:rsidRPr="000665B1" w:rsidRDefault="000665B1" w:rsidP="000665B1">
      <w:pPr>
        <w:pStyle w:val="Paragraphedeliste"/>
        <w:numPr>
          <w:ilvl w:val="0"/>
          <w:numId w:val="1"/>
        </w:numPr>
        <w:spacing w:after="0" w:line="240" w:lineRule="auto"/>
        <w:ind w:right="70"/>
        <w:rPr>
          <w:rFonts w:ascii="Calibri" w:eastAsia="Calibri" w:hAnsi="Calibri" w:cs="Times New Roman"/>
        </w:rPr>
      </w:pPr>
      <w:r w:rsidRPr="000665B1">
        <w:rPr>
          <w:rFonts w:ascii="Calibri" w:eastAsia="Calibri" w:hAnsi="Calibri" w:cs="Times New Roman"/>
          <w:highlight w:val="yellow"/>
        </w:rPr>
        <w:t xml:space="preserve">Coaching et accompagnement pour vous-même pour faciliter le passage de relais, vis-à-vis de tous les acteurs de l'entreprise, transmettre votre savoir faire. </w:t>
      </w:r>
      <w:r w:rsidRPr="000665B1">
        <w:rPr>
          <w:rFonts w:eastAsia="Times New Roman" w:cstheme="minorHAnsi"/>
          <w:b/>
          <w:bCs/>
          <w:color w:val="000000"/>
          <w:highlight w:val="yellow"/>
          <w:u w:val="single"/>
          <w:lang w:eastAsia="fr-FR"/>
        </w:rPr>
        <w:t>Durée</w:t>
      </w:r>
      <w:r w:rsidRPr="000665B1">
        <w:rPr>
          <w:rFonts w:eastAsia="Times New Roman" w:cstheme="minorHAnsi"/>
          <w:color w:val="000000"/>
          <w:highlight w:val="yellow"/>
          <w:lang w:eastAsia="fr-FR"/>
        </w:rPr>
        <w:t xml:space="preserve">  :Equivalent de 6 jours répartis en demi journées sur la durée du processus de transmission.</w:t>
      </w:r>
    </w:p>
    <w:p w:rsidR="007B4F0D" w:rsidRDefault="007B4F0D" w:rsidP="008C406D">
      <w:pPr>
        <w:spacing w:after="0"/>
        <w:ind w:right="70"/>
      </w:pPr>
    </w:p>
    <w:p w:rsidR="00FE57F8" w:rsidRPr="003112E8" w:rsidRDefault="009C6E6F" w:rsidP="008C406D">
      <w:pPr>
        <w:spacing w:after="0"/>
        <w:ind w:right="70"/>
        <w:rPr>
          <w:b/>
          <w:bCs/>
        </w:rPr>
      </w:pPr>
      <w:r>
        <w:rPr>
          <w:b/>
          <w:bCs/>
        </w:rPr>
        <w:t>5</w:t>
      </w:r>
      <w:r w:rsidR="00FE57F8" w:rsidRPr="003112E8">
        <w:rPr>
          <w:b/>
          <w:bCs/>
        </w:rPr>
        <w:t xml:space="preserve"> – </w:t>
      </w:r>
      <w:r w:rsidR="00FE57F8">
        <w:rPr>
          <w:b/>
          <w:bCs/>
        </w:rPr>
        <w:t>E</w:t>
      </w:r>
      <w:r w:rsidR="00FE57F8" w:rsidRPr="003112E8">
        <w:rPr>
          <w:b/>
          <w:bCs/>
        </w:rPr>
        <w:t>xclusivité</w:t>
      </w:r>
      <w:r w:rsidR="00FE57F8">
        <w:rPr>
          <w:b/>
          <w:bCs/>
        </w:rPr>
        <w:t xml:space="preserve"> et durée</w:t>
      </w:r>
      <w:r w:rsidR="00FE57F8" w:rsidRPr="003112E8">
        <w:rPr>
          <w:b/>
          <w:bCs/>
        </w:rPr>
        <w:t> :</w:t>
      </w:r>
    </w:p>
    <w:p w:rsidR="00FE57F8" w:rsidRDefault="00FE57F8" w:rsidP="008C406D">
      <w:pPr>
        <w:spacing w:after="0"/>
        <w:ind w:right="70"/>
      </w:pPr>
    </w:p>
    <w:p w:rsidR="00FE57F8" w:rsidRDefault="00FE57F8" w:rsidP="008C406D">
      <w:pPr>
        <w:spacing w:after="0"/>
        <w:ind w:right="70"/>
      </w:pPr>
      <w:r>
        <w:t xml:space="preserve">Cette mission est confiée à titre exclusif à </w:t>
      </w:r>
      <w:r w:rsidR="00075C64">
        <w:t>JSC Consultants</w:t>
      </w:r>
      <w:r>
        <w:t xml:space="preserve"> pour une période de 18 mois à compter de la signature des présentes et implique que </w:t>
      </w:r>
      <w:r w:rsidR="00075C64">
        <w:t>JSC Consultants</w:t>
      </w:r>
      <w:r>
        <w:t xml:space="preserve"> participe à l’ensemble des opérations et discussions menant à la conclusion de l’opération.</w:t>
      </w:r>
    </w:p>
    <w:p w:rsidR="00FE57F8" w:rsidRDefault="00FE57F8" w:rsidP="008C406D">
      <w:pPr>
        <w:spacing w:after="0"/>
        <w:ind w:right="70"/>
      </w:pPr>
    </w:p>
    <w:p w:rsidR="00FE57F8" w:rsidRPr="003112E8" w:rsidRDefault="009C6E6F" w:rsidP="008C406D">
      <w:pPr>
        <w:spacing w:after="0"/>
        <w:ind w:right="70"/>
        <w:rPr>
          <w:b/>
          <w:bCs/>
        </w:rPr>
      </w:pPr>
      <w:r>
        <w:rPr>
          <w:b/>
          <w:bCs/>
        </w:rPr>
        <w:t>6</w:t>
      </w:r>
      <w:r w:rsidR="00FE57F8" w:rsidRPr="003112E8">
        <w:rPr>
          <w:b/>
          <w:bCs/>
        </w:rPr>
        <w:t xml:space="preserve"> – Droit de suite :</w:t>
      </w:r>
    </w:p>
    <w:p w:rsidR="00FE57F8" w:rsidRDefault="00FE57F8" w:rsidP="008C406D">
      <w:pPr>
        <w:spacing w:after="0"/>
        <w:ind w:right="70"/>
      </w:pPr>
    </w:p>
    <w:p w:rsidR="00FE57F8" w:rsidRDefault="00FE57F8" w:rsidP="008C406D">
      <w:pPr>
        <w:spacing w:after="0"/>
        <w:ind w:right="70"/>
      </w:pPr>
      <w:r>
        <w:t>Dans ce cadre, les conditions de la présente seront applicables si l’opération se conclut dans les 3 années suivant la fin de la période d’exclusivité avec un acheteur ayant manifesté un intérêt pendant cette même période d’exclusivité.</w:t>
      </w:r>
    </w:p>
    <w:p w:rsidR="00FE57F8" w:rsidRPr="003112E8" w:rsidRDefault="00FE57F8" w:rsidP="008C406D">
      <w:pPr>
        <w:spacing w:after="0"/>
        <w:ind w:right="70"/>
      </w:pPr>
      <w:r>
        <w:t xml:space="preserve">En revanche, les conditions de la présente ne seraient pas applicables si l’opération se faisait avec un acheteur dont la candidature à l’achat se serait manifestée, hors l’intervention de </w:t>
      </w:r>
      <w:r w:rsidR="00075C64">
        <w:t xml:space="preserve">JSC </w:t>
      </w:r>
      <w:proofErr w:type="spellStart"/>
      <w:r w:rsidR="00075C64">
        <w:t>Consultants</w:t>
      </w:r>
      <w:r w:rsidR="009C6E6F">
        <w:t>s</w:t>
      </w:r>
      <w:proofErr w:type="spellEnd"/>
      <w:r>
        <w:t>, après la fin de la période d’exclusivité de 18 mois.</w:t>
      </w:r>
    </w:p>
    <w:p w:rsidR="00FE57F8" w:rsidRDefault="00FE57F8" w:rsidP="008C406D">
      <w:pPr>
        <w:spacing w:after="0"/>
        <w:ind w:right="70"/>
      </w:pPr>
    </w:p>
    <w:p w:rsidR="00FE57F8" w:rsidRDefault="009C6E6F" w:rsidP="008C406D">
      <w:pPr>
        <w:spacing w:after="0"/>
        <w:ind w:right="70"/>
        <w:rPr>
          <w:b/>
          <w:bCs/>
        </w:rPr>
      </w:pPr>
      <w:r>
        <w:rPr>
          <w:b/>
          <w:bCs/>
        </w:rPr>
        <w:t>7</w:t>
      </w:r>
      <w:r w:rsidR="00FE57F8" w:rsidRPr="008956A4">
        <w:rPr>
          <w:b/>
          <w:bCs/>
        </w:rPr>
        <w:t xml:space="preserve"> – </w:t>
      </w:r>
      <w:r w:rsidR="00FE57F8">
        <w:rPr>
          <w:b/>
          <w:bCs/>
        </w:rPr>
        <w:t>Devis et mode de paiement</w:t>
      </w:r>
      <w:r w:rsidR="00FE57F8" w:rsidRPr="008956A4">
        <w:rPr>
          <w:b/>
          <w:bCs/>
        </w:rPr>
        <w:t> :</w:t>
      </w:r>
    </w:p>
    <w:p w:rsidR="00FE57F8" w:rsidRPr="008956A4" w:rsidRDefault="00FE57F8" w:rsidP="008C406D">
      <w:pPr>
        <w:spacing w:after="0"/>
        <w:ind w:right="70"/>
        <w:rPr>
          <w:b/>
          <w:bCs/>
        </w:rPr>
      </w:pPr>
    </w:p>
    <w:p w:rsidR="00FE57F8" w:rsidRDefault="00FE57F8" w:rsidP="008C406D">
      <w:pPr>
        <w:numPr>
          <w:ilvl w:val="0"/>
          <w:numId w:val="6"/>
        </w:numPr>
        <w:spacing w:after="0" w:line="240" w:lineRule="auto"/>
        <w:ind w:right="70"/>
      </w:pPr>
      <w:r>
        <w:t xml:space="preserve">Partie fixe de </w:t>
      </w:r>
      <w:r w:rsidR="009C6E6F">
        <w:t>10.5</w:t>
      </w:r>
      <w:r>
        <w:t xml:space="preserve">00 Euros HT facturée </w:t>
      </w:r>
      <w:r w:rsidR="009C6E6F">
        <w:t>à hauteur de 75% (7875 Euros HHT) à la signature des présentes, et 25% à l’issue de la première partie, c’est-à-dire à la livraison des outils de travail.</w:t>
      </w:r>
    </w:p>
    <w:p w:rsidR="009C6E6F" w:rsidRDefault="009C6E6F" w:rsidP="009C6E6F">
      <w:pPr>
        <w:spacing w:after="0" w:line="240" w:lineRule="auto"/>
        <w:ind w:left="360" w:right="70"/>
      </w:pPr>
    </w:p>
    <w:p w:rsidR="00FE57F8" w:rsidRDefault="009C6E6F" w:rsidP="008C406D">
      <w:pPr>
        <w:numPr>
          <w:ilvl w:val="0"/>
          <w:numId w:val="6"/>
        </w:numPr>
        <w:spacing w:after="0" w:line="240" w:lineRule="auto"/>
        <w:ind w:right="70"/>
      </w:pPr>
      <w:r>
        <w:t>Partie variable : 5</w:t>
      </w:r>
      <w:r w:rsidR="00FE57F8">
        <w:t>% du montant de l’opération. Par montant de l’opération on entend la somme de la valeur de 100% des titres de propriété et de quasi-propriété de la Société et de tous autres montants reçus et/ou à recevoir par les actionnaires dans le cadre de cette transaction.</w:t>
      </w:r>
    </w:p>
    <w:p w:rsidR="009C6E6F" w:rsidRDefault="009C6E6F" w:rsidP="009C6E6F">
      <w:pPr>
        <w:spacing w:after="0" w:line="240" w:lineRule="auto"/>
        <w:ind w:right="70"/>
      </w:pPr>
    </w:p>
    <w:p w:rsidR="00FE57F8" w:rsidRDefault="00FE57F8" w:rsidP="008C406D">
      <w:pPr>
        <w:numPr>
          <w:ilvl w:val="0"/>
          <w:numId w:val="6"/>
        </w:numPr>
        <w:spacing w:after="0" w:line="240" w:lineRule="auto"/>
        <w:ind w:right="70"/>
      </w:pPr>
      <w:r>
        <w:t>Paiement de la partie variable au jour de la réalisation de la transaction.</w:t>
      </w:r>
    </w:p>
    <w:p w:rsidR="009C6E6F" w:rsidRDefault="009C6E6F" w:rsidP="009C6E6F">
      <w:pPr>
        <w:spacing w:after="0" w:line="240" w:lineRule="auto"/>
        <w:ind w:right="70"/>
      </w:pPr>
    </w:p>
    <w:p w:rsidR="00FE57F8" w:rsidRDefault="00FE57F8" w:rsidP="008C406D">
      <w:pPr>
        <w:numPr>
          <w:ilvl w:val="0"/>
          <w:numId w:val="6"/>
        </w:numPr>
        <w:spacing w:after="0" w:line="240" w:lineRule="auto"/>
        <w:ind w:right="70"/>
      </w:pPr>
      <w:r>
        <w:t xml:space="preserve">Frais encourus par </w:t>
      </w:r>
      <w:r w:rsidR="00075C64">
        <w:t>JSC Consultants</w:t>
      </w:r>
      <w:r>
        <w:t xml:space="preserve"> pour cette mission remboursés à l’€/€ par Natural Distribution Holdings sur accord préalable et justificatifs. Dans ce cadre et selon les besoins ou problème, </w:t>
      </w:r>
      <w:r w:rsidR="00075C64">
        <w:t>JSC Consultants</w:t>
      </w:r>
      <w:r>
        <w:t>, en accord avec vous, pourra faire appel le cas échéant à un/des spécialistes extérieurs.</w:t>
      </w:r>
    </w:p>
    <w:p w:rsidR="009C6E6F" w:rsidRDefault="009C6E6F" w:rsidP="009C6E6F">
      <w:pPr>
        <w:spacing w:after="0" w:line="240" w:lineRule="auto"/>
        <w:ind w:right="70"/>
      </w:pPr>
    </w:p>
    <w:p w:rsidR="00FE57F8" w:rsidRDefault="00FE57F8" w:rsidP="008C406D">
      <w:pPr>
        <w:numPr>
          <w:ilvl w:val="0"/>
          <w:numId w:val="6"/>
        </w:numPr>
        <w:spacing w:after="0" w:line="240" w:lineRule="auto"/>
        <w:ind w:right="70"/>
      </w:pPr>
      <w:r>
        <w:t xml:space="preserve">Pour toute autre mission que Natural Distribution voudrait confier à </w:t>
      </w:r>
      <w:r w:rsidR="00075C64">
        <w:t>JSC Consultants</w:t>
      </w:r>
      <w:r>
        <w:t xml:space="preserve">  ou que </w:t>
      </w:r>
      <w:r w:rsidR="00075C64">
        <w:t>JSC Consultants</w:t>
      </w:r>
      <w:r>
        <w:t xml:space="preserve"> pourrait proposer, un devis préalable et un accord formel devra être établi entre les parties, indépendant de la présente lettre de mission.</w:t>
      </w:r>
    </w:p>
    <w:p w:rsidR="00FE57F8" w:rsidRDefault="00FE57F8" w:rsidP="008C406D">
      <w:pPr>
        <w:spacing w:after="0"/>
        <w:ind w:right="70"/>
      </w:pPr>
    </w:p>
    <w:p w:rsidR="00075C64" w:rsidRDefault="00075C64" w:rsidP="00075C64">
      <w:pPr>
        <w:pStyle w:val="Paragraphedeliste"/>
        <w:numPr>
          <w:ilvl w:val="0"/>
          <w:numId w:val="6"/>
        </w:numPr>
        <w:spacing w:after="0"/>
        <w:ind w:right="70"/>
      </w:pPr>
      <w:r>
        <w:t xml:space="preserve">Indemnité de rupture : une fois la première partie de la mission terminée, si le donneur d’ordre interrompt la mission, quelle que soit la cause de cette interruption, une indemnité de rupture unilatérale de contrat de 5.000Euros sera due à JSC </w:t>
      </w:r>
      <w:proofErr w:type="spellStart"/>
      <w:r>
        <w:t>Consultantss</w:t>
      </w:r>
      <w:proofErr w:type="spellEnd"/>
      <w:r>
        <w:t>.</w:t>
      </w:r>
    </w:p>
    <w:p w:rsidR="00075C64" w:rsidRDefault="00075C64" w:rsidP="008C406D">
      <w:pPr>
        <w:spacing w:after="0"/>
        <w:ind w:right="70"/>
      </w:pPr>
    </w:p>
    <w:p w:rsidR="00075C64" w:rsidRDefault="00075C64" w:rsidP="008C406D">
      <w:pPr>
        <w:spacing w:after="0"/>
        <w:ind w:right="70"/>
      </w:pPr>
    </w:p>
    <w:p w:rsidR="00FE57F8" w:rsidRDefault="00075C64" w:rsidP="008C406D">
      <w:pPr>
        <w:spacing w:after="0"/>
        <w:ind w:right="70"/>
      </w:pPr>
      <w:r>
        <w:t>Nous serions très honorés et fort intéressés de remplir cette mission pour vous, et si</w:t>
      </w:r>
      <w:r w:rsidR="00FE57F8">
        <w:t xml:space="preserve"> le présent texte trouve votre agrément, nous vous prions de bien vouloir nous en retourner un exemplaire en apposant votre signature précédée de la mention « lu et approuvé » et de la date.</w:t>
      </w:r>
    </w:p>
    <w:p w:rsidR="00075C64" w:rsidRDefault="00075C64" w:rsidP="008C406D">
      <w:pPr>
        <w:spacing w:after="0"/>
        <w:ind w:right="70"/>
      </w:pPr>
    </w:p>
    <w:p w:rsidR="002830BF" w:rsidRDefault="002830BF" w:rsidP="008C406D">
      <w:pPr>
        <w:spacing w:after="0"/>
      </w:pPr>
    </w:p>
    <w:p w:rsidR="00075C64" w:rsidRDefault="00075C64" w:rsidP="008C406D">
      <w:pPr>
        <w:spacing w:after="0"/>
      </w:pPr>
    </w:p>
    <w:p w:rsidR="00075C64" w:rsidRDefault="00075C64" w:rsidP="008C406D">
      <w:pPr>
        <w:spacing w:after="0"/>
      </w:pPr>
    </w:p>
    <w:p w:rsidR="00075C64" w:rsidRDefault="00075C64" w:rsidP="008C406D">
      <w:pPr>
        <w:spacing w:after="0"/>
      </w:pPr>
    </w:p>
    <w:p w:rsidR="00075C64" w:rsidRDefault="00075C64" w:rsidP="008C406D">
      <w:pPr>
        <w:spacing w:after="0"/>
      </w:pPr>
      <w:r>
        <w:t>JSC/ER/OL</w:t>
      </w:r>
    </w:p>
    <w:p w:rsidR="00075C64" w:rsidRDefault="00075C64" w:rsidP="008C406D">
      <w:pPr>
        <w:spacing w:after="0"/>
      </w:pPr>
    </w:p>
    <w:p w:rsidR="00075C64" w:rsidRDefault="00075C64" w:rsidP="008C406D">
      <w:pPr>
        <w:spacing w:after="0"/>
      </w:pPr>
    </w:p>
    <w:p w:rsidR="00075C64" w:rsidRDefault="00075C64" w:rsidP="008C406D">
      <w:pPr>
        <w:spacing w:after="0"/>
      </w:pPr>
    </w:p>
    <w:p w:rsidR="00075C64" w:rsidRDefault="00075C64" w:rsidP="008C406D">
      <w:pPr>
        <w:spacing w:after="0"/>
      </w:pPr>
    </w:p>
    <w:p w:rsidR="00075C64" w:rsidRDefault="00075C64" w:rsidP="008C406D">
      <w:pPr>
        <w:spacing w:after="0"/>
      </w:pPr>
    </w:p>
    <w:p w:rsidR="00075C64" w:rsidRDefault="00075C64" w:rsidP="008C406D">
      <w:pPr>
        <w:spacing w:after="0"/>
      </w:pPr>
    </w:p>
    <w:p w:rsidR="00075C64" w:rsidRDefault="00075C64" w:rsidP="008C406D">
      <w:pPr>
        <w:spacing w:after="0"/>
      </w:pPr>
    </w:p>
    <w:p w:rsidR="00C41A27" w:rsidRDefault="00C41A27" w:rsidP="008C406D">
      <w:pPr>
        <w:spacing w:after="0"/>
      </w:pPr>
      <w:r>
        <w:br w:type="page"/>
      </w:r>
    </w:p>
    <w:p w:rsidR="002830BF" w:rsidRPr="00C41A27" w:rsidRDefault="00C41A27" w:rsidP="008C406D">
      <w:pPr>
        <w:spacing w:after="0"/>
        <w:jc w:val="center"/>
        <w:rPr>
          <w:b/>
        </w:rPr>
      </w:pPr>
      <w:r w:rsidRPr="00C41A27">
        <w:rPr>
          <w:b/>
        </w:rPr>
        <w:lastRenderedPageBreak/>
        <w:t>Annexe 1 : les comptes de RAS en grandes masses</w:t>
      </w:r>
    </w:p>
    <w:p w:rsidR="00FE2BBB" w:rsidRDefault="00FE2BBB" w:rsidP="008C406D">
      <w:pPr>
        <w:spacing w:after="0"/>
      </w:pPr>
    </w:p>
    <w:p w:rsidR="00FE2BBB" w:rsidRDefault="00FE2BBB" w:rsidP="008C406D">
      <w:pPr>
        <w:spacing w:after="0"/>
      </w:pPr>
    </w:p>
    <w:p w:rsidR="00FE2BBB" w:rsidRDefault="00C41A27" w:rsidP="008C406D">
      <w:pPr>
        <w:spacing w:after="0"/>
      </w:pPr>
      <w:r w:rsidRPr="00FE2BBB">
        <w:rPr>
          <w:noProof/>
          <w:lang w:eastAsia="fr-FR"/>
        </w:rPr>
        <w:drawing>
          <wp:anchor distT="0" distB="0" distL="114300" distR="114300" simplePos="0" relativeHeight="251658240" behindDoc="0" locked="0" layoutInCell="1" allowOverlap="1">
            <wp:simplePos x="0" y="0"/>
            <wp:positionH relativeFrom="column">
              <wp:posOffset>-132715</wp:posOffset>
            </wp:positionH>
            <wp:positionV relativeFrom="paragraph">
              <wp:posOffset>274955</wp:posOffset>
            </wp:positionV>
            <wp:extent cx="3153410" cy="3570605"/>
            <wp:effectExtent l="0" t="0" r="889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3410" cy="3570605"/>
                    </a:xfrm>
                    <a:prstGeom prst="rect">
                      <a:avLst/>
                    </a:prstGeom>
                    <a:noFill/>
                    <a:ln>
                      <a:noFill/>
                    </a:ln>
                  </pic:spPr>
                </pic:pic>
              </a:graphicData>
            </a:graphic>
          </wp:anchor>
        </w:drawing>
      </w:r>
    </w:p>
    <w:p w:rsidR="00FE2BBB" w:rsidRDefault="00C41A27" w:rsidP="008C406D">
      <w:pPr>
        <w:spacing w:after="0"/>
      </w:pPr>
      <w:r w:rsidRPr="00FE2BBB">
        <w:rPr>
          <w:noProof/>
          <w:lang w:eastAsia="fr-FR"/>
        </w:rPr>
        <w:drawing>
          <wp:anchor distT="0" distB="0" distL="114300" distR="114300" simplePos="0" relativeHeight="251659264" behindDoc="0" locked="0" layoutInCell="1" allowOverlap="1">
            <wp:simplePos x="0" y="0"/>
            <wp:positionH relativeFrom="column">
              <wp:posOffset>-13970</wp:posOffset>
            </wp:positionH>
            <wp:positionV relativeFrom="paragraph">
              <wp:posOffset>73025</wp:posOffset>
            </wp:positionV>
            <wp:extent cx="3153410" cy="2437130"/>
            <wp:effectExtent l="0" t="0" r="8890" b="127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3410" cy="2437130"/>
                    </a:xfrm>
                    <a:prstGeom prst="rect">
                      <a:avLst/>
                    </a:prstGeom>
                    <a:noFill/>
                    <a:ln>
                      <a:noFill/>
                    </a:ln>
                  </pic:spPr>
                </pic:pic>
              </a:graphicData>
            </a:graphic>
          </wp:anchor>
        </w:drawing>
      </w:r>
    </w:p>
    <w:p w:rsidR="00FE2BBB" w:rsidRDefault="00FE2BBB" w:rsidP="008C406D">
      <w:pPr>
        <w:spacing w:after="0"/>
      </w:pPr>
    </w:p>
    <w:p w:rsidR="00FE2BBB" w:rsidRDefault="00FE2BBB" w:rsidP="008C406D">
      <w:pPr>
        <w:spacing w:after="0"/>
      </w:pPr>
    </w:p>
    <w:p w:rsidR="00FE2BBB" w:rsidRDefault="00FE2BBB" w:rsidP="008C406D">
      <w:pPr>
        <w:spacing w:after="0"/>
      </w:pPr>
    </w:p>
    <w:p w:rsidR="00FE2BBB" w:rsidRDefault="00FE2BBB" w:rsidP="008C406D">
      <w:pPr>
        <w:spacing w:after="0"/>
      </w:pPr>
    </w:p>
    <w:p w:rsidR="00FE2BBB" w:rsidRDefault="00FE2BBB" w:rsidP="008C406D">
      <w:pPr>
        <w:spacing w:after="0"/>
      </w:pPr>
    </w:p>
    <w:p w:rsidR="00FE2BBB" w:rsidRDefault="00FE2BBB" w:rsidP="008C406D">
      <w:pPr>
        <w:spacing w:after="0"/>
      </w:pPr>
    </w:p>
    <w:p w:rsidR="00FE2BBB" w:rsidRDefault="00FE2BBB" w:rsidP="008C406D">
      <w:pPr>
        <w:spacing w:after="0"/>
      </w:pPr>
    </w:p>
    <w:p w:rsidR="00FE2BBB" w:rsidRDefault="00FE2BBB" w:rsidP="008C406D">
      <w:pPr>
        <w:spacing w:after="0"/>
      </w:pPr>
    </w:p>
    <w:p w:rsidR="00FE2BBB" w:rsidRDefault="00FE2BBB" w:rsidP="008C406D">
      <w:pPr>
        <w:spacing w:after="0"/>
      </w:pPr>
    </w:p>
    <w:p w:rsidR="00FE2BBB" w:rsidRDefault="00C41A27" w:rsidP="008C406D">
      <w:pPr>
        <w:spacing w:after="0"/>
      </w:pPr>
      <w:r w:rsidRPr="00FE2BBB">
        <w:rPr>
          <w:noProof/>
          <w:lang w:eastAsia="fr-FR"/>
        </w:rPr>
        <w:drawing>
          <wp:anchor distT="0" distB="0" distL="114300" distR="114300" simplePos="0" relativeHeight="251660288" behindDoc="0" locked="0" layoutInCell="1" allowOverlap="1">
            <wp:simplePos x="0" y="0"/>
            <wp:positionH relativeFrom="column">
              <wp:posOffset>1195705</wp:posOffset>
            </wp:positionH>
            <wp:positionV relativeFrom="paragraph">
              <wp:posOffset>182245</wp:posOffset>
            </wp:positionV>
            <wp:extent cx="3153410" cy="1788795"/>
            <wp:effectExtent l="0" t="0" r="8890" b="190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3410" cy="1788795"/>
                    </a:xfrm>
                    <a:prstGeom prst="rect">
                      <a:avLst/>
                    </a:prstGeom>
                    <a:noFill/>
                    <a:ln>
                      <a:noFill/>
                    </a:ln>
                  </pic:spPr>
                </pic:pic>
              </a:graphicData>
            </a:graphic>
          </wp:anchor>
        </w:drawing>
      </w:r>
    </w:p>
    <w:p w:rsidR="00FE2BBB" w:rsidRDefault="00FE2BBB" w:rsidP="008C406D">
      <w:pPr>
        <w:spacing w:after="0"/>
      </w:pPr>
    </w:p>
    <w:p w:rsidR="00FE2BBB" w:rsidRDefault="00FE2BBB" w:rsidP="008C406D">
      <w:pPr>
        <w:spacing w:after="0"/>
      </w:pPr>
    </w:p>
    <w:p w:rsidR="00FE2BBB" w:rsidRDefault="00FE2BBB" w:rsidP="008C406D">
      <w:pPr>
        <w:spacing w:after="0"/>
      </w:pPr>
    </w:p>
    <w:p w:rsidR="00FE2BBB" w:rsidRDefault="00FE2BBB" w:rsidP="008C406D">
      <w:pPr>
        <w:spacing w:after="0"/>
      </w:pPr>
    </w:p>
    <w:p w:rsidR="00FE2BBB" w:rsidRDefault="00FE2BBB" w:rsidP="008C406D">
      <w:pPr>
        <w:spacing w:after="0"/>
      </w:pPr>
    </w:p>
    <w:p w:rsidR="00FE2BBB" w:rsidRDefault="00FE2BBB" w:rsidP="008C406D">
      <w:pPr>
        <w:spacing w:after="0"/>
      </w:pPr>
    </w:p>
    <w:p w:rsidR="00FE2BBB" w:rsidRDefault="00FE2BBB" w:rsidP="008C406D">
      <w:pPr>
        <w:spacing w:after="0"/>
      </w:pPr>
    </w:p>
    <w:p w:rsidR="00FE2BBB" w:rsidRDefault="00FE2BBB" w:rsidP="008C406D">
      <w:pPr>
        <w:spacing w:after="0"/>
      </w:pPr>
    </w:p>
    <w:p w:rsidR="00FE2BBB" w:rsidRDefault="00FE2BBB" w:rsidP="008C406D">
      <w:pPr>
        <w:spacing w:after="0"/>
      </w:pPr>
    </w:p>
    <w:p w:rsidR="00FE2BBB" w:rsidRDefault="00FE2BBB" w:rsidP="008C406D">
      <w:pPr>
        <w:spacing w:after="0"/>
      </w:pPr>
    </w:p>
    <w:p w:rsidR="00FE2BBB" w:rsidRDefault="00FE2BBB" w:rsidP="008C406D">
      <w:pPr>
        <w:pBdr>
          <w:bottom w:val="single" w:sz="12" w:space="1" w:color="auto"/>
        </w:pBdr>
        <w:spacing w:after="0"/>
      </w:pPr>
    </w:p>
    <w:p w:rsidR="009C6E6F" w:rsidRDefault="009C6E6F">
      <w:r>
        <w:br w:type="page"/>
      </w:r>
    </w:p>
    <w:p w:rsidR="009C6E6F" w:rsidRDefault="009C6E6F" w:rsidP="009C6E6F">
      <w:pPr>
        <w:spacing w:after="0"/>
        <w:jc w:val="center"/>
        <w:rPr>
          <w:b/>
        </w:rPr>
      </w:pPr>
    </w:p>
    <w:p w:rsidR="009C6E6F" w:rsidRDefault="009C6E6F" w:rsidP="009C6E6F">
      <w:pPr>
        <w:spacing w:after="0"/>
        <w:jc w:val="center"/>
        <w:rPr>
          <w:b/>
        </w:rPr>
      </w:pPr>
    </w:p>
    <w:p w:rsidR="009C6E6F" w:rsidRDefault="009C6E6F" w:rsidP="009C6E6F">
      <w:pPr>
        <w:spacing w:after="0"/>
        <w:jc w:val="center"/>
        <w:rPr>
          <w:b/>
        </w:rPr>
      </w:pPr>
    </w:p>
    <w:p w:rsidR="009C6E6F" w:rsidRDefault="009C6E6F" w:rsidP="009C6E6F">
      <w:pPr>
        <w:spacing w:after="0"/>
        <w:jc w:val="center"/>
        <w:rPr>
          <w:b/>
        </w:rPr>
      </w:pPr>
    </w:p>
    <w:p w:rsidR="009C6E6F" w:rsidRDefault="009C6E6F" w:rsidP="009C6E6F">
      <w:pPr>
        <w:spacing w:after="0"/>
        <w:jc w:val="center"/>
        <w:rPr>
          <w:b/>
        </w:rPr>
      </w:pPr>
    </w:p>
    <w:p w:rsidR="009C6E6F" w:rsidRDefault="009C6E6F" w:rsidP="009C6E6F">
      <w:pPr>
        <w:spacing w:after="0"/>
        <w:jc w:val="center"/>
        <w:rPr>
          <w:b/>
        </w:rPr>
      </w:pPr>
    </w:p>
    <w:p w:rsidR="009C6E6F" w:rsidRDefault="009C6E6F" w:rsidP="009C6E6F">
      <w:pPr>
        <w:spacing w:after="0"/>
        <w:jc w:val="center"/>
        <w:rPr>
          <w:b/>
        </w:rPr>
      </w:pPr>
    </w:p>
    <w:p w:rsidR="009C6E6F" w:rsidRDefault="009C6E6F" w:rsidP="009C6E6F">
      <w:pPr>
        <w:spacing w:after="0"/>
        <w:jc w:val="center"/>
        <w:rPr>
          <w:b/>
        </w:rPr>
      </w:pPr>
    </w:p>
    <w:p w:rsidR="009C6E6F" w:rsidRDefault="009C6E6F" w:rsidP="009C6E6F">
      <w:pPr>
        <w:spacing w:after="0"/>
        <w:jc w:val="center"/>
        <w:rPr>
          <w:b/>
        </w:rPr>
      </w:pPr>
    </w:p>
    <w:p w:rsidR="009C6E6F" w:rsidRDefault="009C6E6F" w:rsidP="009C6E6F">
      <w:pPr>
        <w:spacing w:after="0"/>
        <w:jc w:val="center"/>
        <w:rPr>
          <w:b/>
        </w:rPr>
      </w:pPr>
    </w:p>
    <w:p w:rsidR="009C6E6F" w:rsidRDefault="009C6E6F" w:rsidP="009C6E6F">
      <w:pPr>
        <w:spacing w:after="0"/>
        <w:jc w:val="center"/>
        <w:rPr>
          <w:b/>
        </w:rPr>
      </w:pPr>
    </w:p>
    <w:p w:rsidR="009C6E6F" w:rsidRDefault="009C6E6F" w:rsidP="009C6E6F">
      <w:pPr>
        <w:spacing w:after="0"/>
        <w:jc w:val="center"/>
        <w:rPr>
          <w:b/>
        </w:rPr>
      </w:pPr>
    </w:p>
    <w:p w:rsidR="009C6E6F" w:rsidRDefault="009C6E6F" w:rsidP="009C6E6F">
      <w:pPr>
        <w:spacing w:after="0"/>
        <w:jc w:val="center"/>
        <w:rPr>
          <w:b/>
        </w:rPr>
      </w:pPr>
    </w:p>
    <w:p w:rsidR="009C6E6F" w:rsidRDefault="009C6E6F" w:rsidP="009C6E6F">
      <w:pPr>
        <w:spacing w:after="0"/>
        <w:jc w:val="center"/>
        <w:rPr>
          <w:b/>
        </w:rPr>
      </w:pPr>
    </w:p>
    <w:p w:rsidR="009C6E6F" w:rsidRDefault="009C6E6F" w:rsidP="009C6E6F">
      <w:pPr>
        <w:spacing w:after="0"/>
        <w:jc w:val="center"/>
        <w:rPr>
          <w:b/>
        </w:rPr>
      </w:pPr>
    </w:p>
    <w:p w:rsidR="009C6E6F" w:rsidRDefault="009C6E6F" w:rsidP="009C6E6F">
      <w:pPr>
        <w:spacing w:after="0"/>
        <w:jc w:val="center"/>
        <w:rPr>
          <w:b/>
        </w:rPr>
      </w:pPr>
    </w:p>
    <w:p w:rsidR="009C6E6F" w:rsidRDefault="009C6E6F" w:rsidP="009C6E6F">
      <w:pPr>
        <w:spacing w:after="0"/>
        <w:jc w:val="center"/>
        <w:rPr>
          <w:b/>
        </w:rPr>
      </w:pPr>
    </w:p>
    <w:p w:rsidR="009C6E6F" w:rsidRDefault="009C6E6F" w:rsidP="009C6E6F">
      <w:pPr>
        <w:spacing w:after="0"/>
        <w:jc w:val="center"/>
        <w:rPr>
          <w:b/>
        </w:rPr>
      </w:pPr>
    </w:p>
    <w:p w:rsidR="009C6E6F" w:rsidRDefault="009C6E6F" w:rsidP="009C6E6F">
      <w:pPr>
        <w:spacing w:after="0"/>
        <w:jc w:val="center"/>
        <w:rPr>
          <w:b/>
        </w:rPr>
      </w:pPr>
    </w:p>
    <w:p w:rsidR="009C6E6F" w:rsidRDefault="009C6E6F" w:rsidP="009C6E6F">
      <w:pPr>
        <w:spacing w:after="0"/>
        <w:jc w:val="center"/>
        <w:rPr>
          <w:b/>
        </w:rPr>
      </w:pPr>
    </w:p>
    <w:p w:rsidR="00C41A27" w:rsidRDefault="009C6E6F" w:rsidP="009C6E6F">
      <w:pPr>
        <w:spacing w:after="0"/>
        <w:jc w:val="center"/>
        <w:rPr>
          <w:b/>
        </w:rPr>
      </w:pPr>
      <w:r w:rsidRPr="009C6E6F">
        <w:rPr>
          <w:b/>
        </w:rPr>
        <w:t>Annexe 2</w:t>
      </w:r>
      <w:r>
        <w:rPr>
          <w:b/>
        </w:rPr>
        <w:t xml:space="preserve"> – CV Détaillés des intervenants</w:t>
      </w:r>
    </w:p>
    <w:p w:rsidR="009C6E6F" w:rsidRPr="009C6E6F" w:rsidRDefault="009C6E6F" w:rsidP="009C6E6F">
      <w:pPr>
        <w:spacing w:after="0"/>
        <w:jc w:val="center"/>
        <w:rPr>
          <w:b/>
        </w:rPr>
      </w:pPr>
    </w:p>
    <w:sectPr w:rsidR="009C6E6F" w:rsidRPr="009C6E6F" w:rsidSect="000E3B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E3D09"/>
    <w:multiLevelType w:val="hybridMultilevel"/>
    <w:tmpl w:val="BD90CD1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
    <w:nsid w:val="20493EC1"/>
    <w:multiLevelType w:val="hybridMultilevel"/>
    <w:tmpl w:val="B818EC72"/>
    <w:lvl w:ilvl="0" w:tplc="8AF0AF1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FF4989"/>
    <w:multiLevelType w:val="hybridMultilevel"/>
    <w:tmpl w:val="A29236E8"/>
    <w:lvl w:ilvl="0" w:tplc="040C0019">
      <w:start w:val="1"/>
      <w:numFmt w:val="lowerLetter"/>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nsid w:val="596D7BD5"/>
    <w:multiLevelType w:val="hybridMultilevel"/>
    <w:tmpl w:val="B9FEC27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68142441"/>
    <w:multiLevelType w:val="hybridMultilevel"/>
    <w:tmpl w:val="EF4CE4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C874D55"/>
    <w:multiLevelType w:val="hybridMultilevel"/>
    <w:tmpl w:val="F9921F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79905377"/>
    <w:multiLevelType w:val="hybridMultilevel"/>
    <w:tmpl w:val="58DC759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6"/>
  </w:num>
  <w:num w:numId="4">
    <w:abstractNumId w:val="0"/>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72BF7"/>
    <w:rsid w:val="000665B1"/>
    <w:rsid w:val="00075C64"/>
    <w:rsid w:val="000E3BD9"/>
    <w:rsid w:val="00172BF7"/>
    <w:rsid w:val="002830BF"/>
    <w:rsid w:val="00323225"/>
    <w:rsid w:val="003D50EC"/>
    <w:rsid w:val="00665F1A"/>
    <w:rsid w:val="00756321"/>
    <w:rsid w:val="007B4F0D"/>
    <w:rsid w:val="008C406D"/>
    <w:rsid w:val="009C6E6F"/>
    <w:rsid w:val="00C41A27"/>
    <w:rsid w:val="00DF43B8"/>
    <w:rsid w:val="00F24592"/>
    <w:rsid w:val="00FE2BBB"/>
    <w:rsid w:val="00FE57F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BD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E2B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2BBB"/>
    <w:rPr>
      <w:rFonts w:ascii="Tahoma" w:hAnsi="Tahoma" w:cs="Tahoma"/>
      <w:sz w:val="16"/>
      <w:szCs w:val="16"/>
    </w:rPr>
  </w:style>
  <w:style w:type="paragraph" w:styleId="Paragraphedeliste">
    <w:name w:val="List Paragraph"/>
    <w:basedOn w:val="Normal"/>
    <w:uiPriority w:val="34"/>
    <w:qFormat/>
    <w:rsid w:val="002830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E2B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2BBB"/>
    <w:rPr>
      <w:rFonts w:ascii="Tahoma" w:hAnsi="Tahoma" w:cs="Tahoma"/>
      <w:sz w:val="16"/>
      <w:szCs w:val="16"/>
    </w:rPr>
  </w:style>
  <w:style w:type="paragraph" w:styleId="Paragraphedeliste">
    <w:name w:val="List Paragraph"/>
    <w:basedOn w:val="Normal"/>
    <w:uiPriority w:val="34"/>
    <w:qFormat/>
    <w:rsid w:val="002830B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1102</Words>
  <Characters>6067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SAINT-CRICQ</dc:creator>
  <cp:lastModifiedBy>evelyne</cp:lastModifiedBy>
  <cp:revision>2</cp:revision>
  <cp:lastPrinted>2011-12-30T08:40:00Z</cp:lastPrinted>
  <dcterms:created xsi:type="dcterms:W3CDTF">2011-12-30T09:59:00Z</dcterms:created>
  <dcterms:modified xsi:type="dcterms:W3CDTF">2011-12-30T09:59:00Z</dcterms:modified>
</cp:coreProperties>
</file>