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rsidP="00A07A23">
      <w:pPr>
        <w:spacing w:after="0" w:line="240" w:lineRule="auto"/>
      </w:pPr>
    </w:p>
    <w:p w:rsidR="00672080" w:rsidRDefault="00672080" w:rsidP="00A07A23">
      <w:pPr>
        <w:spacing w:after="0" w:line="240" w:lineRule="auto"/>
      </w:pPr>
    </w:p>
    <w:p w:rsidR="00672080" w:rsidRPr="00A07A23" w:rsidRDefault="00672080" w:rsidP="00A07A23">
      <w:pPr>
        <w:spacing w:after="0" w:line="240" w:lineRule="auto"/>
        <w:rPr>
          <w:rFonts w:cstheme="minorHAnsi"/>
          <w:b/>
          <w:color w:val="1F497D" w:themeColor="text2"/>
        </w:rPr>
      </w:pPr>
      <w:r w:rsidRPr="00A07A23">
        <w:rPr>
          <w:rFonts w:cstheme="minorHAnsi"/>
          <w:b/>
          <w:color w:val="1F497D" w:themeColor="text2"/>
        </w:rPr>
        <w:t>Préparation plaquette REFINANCEMENT</w:t>
      </w:r>
    </w:p>
    <w:p w:rsidR="00063D6D" w:rsidRPr="00063D6D" w:rsidRDefault="00063D6D" w:rsidP="00A07A23">
      <w:pPr>
        <w:shd w:val="clear" w:color="auto" w:fill="FFFFFF"/>
        <w:spacing w:after="0" w:line="240" w:lineRule="auto"/>
        <w:jc w:val="both"/>
        <w:rPr>
          <w:rFonts w:eastAsia="Times New Roman" w:cstheme="minorHAnsi"/>
          <w:b/>
          <w:color w:val="1F497D" w:themeColor="text2"/>
          <w:lang w:eastAsia="fr-FR"/>
        </w:rPr>
      </w:pPr>
      <w:r w:rsidRPr="00063D6D">
        <w:rPr>
          <w:rFonts w:ascii="Calibri" w:hAnsi="Calibri" w:cs="Calibri"/>
          <w:color w:val="333333"/>
          <w:shd w:val="clear" w:color="auto" w:fill="F2F2F2"/>
        </w:rPr>
        <w:t>Si vous êtes vraiment dans le rouge à la fin de chaque mois, ne tardez pas pour souscrire à un rachat de prêts, même si vous pensez que vous pourrez un jour vous en sortir, c'est la meilleure solution pour pouvoir vivre plus sereinement. Plus de 5 millions de français ont déjà ce genre de crédits, alors franchissez le pas.</w:t>
      </w:r>
    </w:p>
    <w:p w:rsidR="00063D6D" w:rsidRDefault="00063D6D" w:rsidP="00A07A23">
      <w:pPr>
        <w:shd w:val="clear" w:color="auto" w:fill="FFFFFF"/>
        <w:spacing w:after="0" w:line="240" w:lineRule="auto"/>
        <w:jc w:val="both"/>
        <w:rPr>
          <w:rFonts w:eastAsia="Times New Roman" w:cstheme="minorHAnsi"/>
          <w:b/>
          <w:color w:val="1F497D" w:themeColor="text2"/>
          <w:lang w:eastAsia="fr-FR"/>
        </w:rPr>
      </w:pPr>
    </w:p>
    <w:p w:rsidR="00672080" w:rsidRPr="00A07A23" w:rsidRDefault="00672080" w:rsidP="00A07A23">
      <w:pPr>
        <w:shd w:val="clear" w:color="auto" w:fill="FFFFFF"/>
        <w:spacing w:after="0" w:line="240" w:lineRule="auto"/>
        <w:jc w:val="both"/>
        <w:rPr>
          <w:rFonts w:eastAsia="Times New Roman" w:cstheme="minorHAnsi"/>
          <w:b/>
          <w:color w:val="1F497D" w:themeColor="text2"/>
          <w:lang w:eastAsia="fr-FR"/>
        </w:rPr>
      </w:pPr>
      <w:r w:rsidRPr="00A07A23">
        <w:rPr>
          <w:rFonts w:eastAsia="Times New Roman" w:cstheme="minorHAnsi"/>
          <w:b/>
          <w:color w:val="1F497D" w:themeColor="text2"/>
          <w:lang w:eastAsia="fr-FR"/>
        </w:rPr>
        <w:t>Qu'est-ce que refinancer un crédit ?</w:t>
      </w:r>
    </w:p>
    <w:p w:rsidR="00672080" w:rsidRPr="00A07A23" w:rsidRDefault="00672080" w:rsidP="00A07A23">
      <w:pPr>
        <w:shd w:val="clear" w:color="auto" w:fill="FFFFFF"/>
        <w:spacing w:after="0" w:line="240" w:lineRule="auto"/>
        <w:jc w:val="both"/>
        <w:rPr>
          <w:rFonts w:eastAsia="Times New Roman" w:cstheme="minorHAnsi"/>
          <w:color w:val="1F497D" w:themeColor="text2"/>
          <w:lang w:eastAsia="fr-FR"/>
        </w:rPr>
      </w:pPr>
    </w:p>
    <w:p w:rsidR="00672080" w:rsidRPr="00672080" w:rsidRDefault="00672080" w:rsidP="00A07A23">
      <w:pPr>
        <w:shd w:val="clear" w:color="auto" w:fill="FFFFFF"/>
        <w:spacing w:after="0" w:line="240" w:lineRule="auto"/>
        <w:ind w:right="-408"/>
        <w:rPr>
          <w:rFonts w:eastAsia="Times New Roman" w:cstheme="minorHAnsi"/>
          <w:color w:val="1F497D" w:themeColor="text2"/>
          <w:lang w:eastAsia="fr-FR"/>
        </w:rPr>
      </w:pPr>
      <w:r w:rsidRPr="00A07A23">
        <w:rPr>
          <w:rFonts w:eastAsia="Times New Roman" w:cstheme="minorHAnsi"/>
          <w:color w:val="1F497D" w:themeColor="text2"/>
          <w:lang w:eastAsia="fr-FR"/>
        </w:rPr>
        <w:t xml:space="preserve">Refinancer un crédit consiste </w:t>
      </w:r>
      <w:r w:rsidRPr="00672080">
        <w:rPr>
          <w:rFonts w:eastAsia="Times New Roman" w:cstheme="minorHAnsi"/>
          <w:color w:val="1F497D" w:themeColor="text2"/>
          <w:lang w:eastAsia="fr-FR"/>
        </w:rPr>
        <w:t>à</w:t>
      </w:r>
      <w:r w:rsidRPr="00A07A23">
        <w:rPr>
          <w:rFonts w:eastAsia="Times New Roman" w:cstheme="minorHAnsi"/>
          <w:color w:val="1F497D" w:themeColor="text2"/>
          <w:lang w:eastAsia="fr-FR"/>
        </w:rPr>
        <w:t> </w:t>
      </w:r>
      <w:r w:rsidRPr="00A07A23">
        <w:rPr>
          <w:rFonts w:eastAsia="Times New Roman" w:cstheme="minorHAnsi"/>
          <w:b/>
          <w:bCs/>
          <w:color w:val="1F497D" w:themeColor="text2"/>
          <w:lang w:eastAsia="fr-FR"/>
        </w:rPr>
        <w:t>rembourser</w:t>
      </w:r>
      <w:r w:rsidRPr="00A07A23">
        <w:rPr>
          <w:rFonts w:eastAsia="Times New Roman" w:cstheme="minorHAnsi"/>
          <w:color w:val="1F497D" w:themeColor="text2"/>
          <w:lang w:eastAsia="fr-FR"/>
        </w:rPr>
        <w:t> </w:t>
      </w:r>
      <w:r w:rsidRPr="00672080">
        <w:rPr>
          <w:rFonts w:eastAsia="Times New Roman" w:cstheme="minorHAnsi"/>
          <w:color w:val="1F497D" w:themeColor="text2"/>
          <w:lang w:eastAsia="fr-FR"/>
        </w:rPr>
        <w:t>un crédit par</w:t>
      </w:r>
      <w:r w:rsidRPr="00A07A23">
        <w:rPr>
          <w:rFonts w:eastAsia="Times New Roman" w:cstheme="minorHAnsi"/>
          <w:color w:val="1F497D" w:themeColor="text2"/>
          <w:lang w:eastAsia="fr-FR"/>
        </w:rPr>
        <w:t xml:space="preserve"> anticipation, et parallèlement </w:t>
      </w:r>
      <w:r w:rsidRPr="00672080">
        <w:rPr>
          <w:rFonts w:eastAsia="Times New Roman" w:cstheme="minorHAnsi"/>
          <w:color w:val="1F497D" w:themeColor="text2"/>
          <w:lang w:eastAsia="fr-FR"/>
        </w:rPr>
        <w:t>à</w:t>
      </w:r>
      <w:r w:rsidRPr="00A07A23">
        <w:rPr>
          <w:rFonts w:eastAsia="Times New Roman" w:cstheme="minorHAnsi"/>
          <w:color w:val="1F497D" w:themeColor="text2"/>
          <w:lang w:eastAsia="fr-FR"/>
        </w:rPr>
        <w:t> </w:t>
      </w:r>
      <w:r w:rsidRPr="00A07A23">
        <w:rPr>
          <w:rFonts w:eastAsia="Times New Roman" w:cstheme="minorHAnsi"/>
          <w:b/>
          <w:bCs/>
          <w:color w:val="1F497D" w:themeColor="text2"/>
          <w:lang w:eastAsia="fr-FR"/>
        </w:rPr>
        <w:t>réemprunter</w:t>
      </w:r>
      <w:r w:rsidRPr="00A07A23">
        <w:rPr>
          <w:rFonts w:eastAsia="Times New Roman" w:cstheme="minorHAnsi"/>
          <w:color w:val="1F497D" w:themeColor="text2"/>
          <w:lang w:eastAsia="fr-FR"/>
        </w:rPr>
        <w:t> </w:t>
      </w:r>
      <w:r w:rsidRPr="00672080">
        <w:rPr>
          <w:rFonts w:eastAsia="Times New Roman" w:cstheme="minorHAnsi"/>
          <w:color w:val="1F497D" w:themeColor="text2"/>
          <w:lang w:eastAsia="fr-FR"/>
        </w:rPr>
        <w:t>à un taux plus intéressant pour profiter d'une baisse de taux.</w:t>
      </w:r>
    </w:p>
    <w:p w:rsidR="00672080" w:rsidRPr="00672080" w:rsidRDefault="00672080" w:rsidP="00A07A23">
      <w:pPr>
        <w:shd w:val="clear" w:color="auto" w:fill="FFFFFF"/>
        <w:spacing w:after="0" w:line="240" w:lineRule="auto"/>
        <w:ind w:right="-408"/>
        <w:jc w:val="both"/>
        <w:rPr>
          <w:rFonts w:eastAsia="Times New Roman" w:cstheme="minorHAnsi"/>
          <w:color w:val="1F497D" w:themeColor="text2"/>
          <w:lang w:eastAsia="fr-FR"/>
        </w:rPr>
      </w:pPr>
      <w:r w:rsidRPr="00672080">
        <w:rPr>
          <w:rFonts w:eastAsia="Times New Roman" w:cstheme="minorHAnsi"/>
          <w:color w:val="1F497D" w:themeColor="text2"/>
          <w:lang w:eastAsia="fr-FR"/>
        </w:rPr>
        <w:t>Le</w:t>
      </w:r>
      <w:r w:rsidRPr="00A07A23">
        <w:rPr>
          <w:rFonts w:eastAsia="Times New Roman" w:cstheme="minorHAnsi"/>
          <w:color w:val="1F497D" w:themeColor="text2"/>
          <w:lang w:eastAsia="fr-FR"/>
        </w:rPr>
        <w:t> </w:t>
      </w:r>
      <w:hyperlink r:id="rId5" w:tooltip="refinancement" w:history="1">
        <w:r w:rsidRPr="00A07A23">
          <w:rPr>
            <w:rFonts w:eastAsia="Times New Roman" w:cstheme="minorHAnsi"/>
            <w:color w:val="1F497D" w:themeColor="text2"/>
            <w:lang w:eastAsia="fr-FR"/>
          </w:rPr>
          <w:t>refinancement</w:t>
        </w:r>
      </w:hyperlink>
      <w:r w:rsidRPr="00A07A23">
        <w:rPr>
          <w:rFonts w:eastAsia="Times New Roman" w:cstheme="minorHAnsi"/>
          <w:color w:val="1F497D" w:themeColor="text2"/>
          <w:lang w:eastAsia="fr-FR"/>
        </w:rPr>
        <w:t> </w:t>
      </w:r>
      <w:r w:rsidRPr="00672080">
        <w:rPr>
          <w:rFonts w:eastAsia="Times New Roman" w:cstheme="minorHAnsi"/>
          <w:color w:val="1F497D" w:themeColor="text2"/>
          <w:lang w:eastAsia="fr-FR"/>
        </w:rPr>
        <w:t>concerne principalement les prêts</w:t>
      </w:r>
      <w:r w:rsidRPr="00A07A23">
        <w:rPr>
          <w:rFonts w:eastAsia="Times New Roman" w:cstheme="minorHAnsi"/>
          <w:color w:val="1F497D" w:themeColor="text2"/>
          <w:lang w:eastAsia="fr-FR"/>
        </w:rPr>
        <w:t> </w:t>
      </w:r>
      <w:r w:rsidRPr="00A07A23">
        <w:rPr>
          <w:rFonts w:eastAsia="Times New Roman" w:cstheme="minorHAnsi"/>
          <w:b/>
          <w:bCs/>
          <w:color w:val="1F497D" w:themeColor="text2"/>
          <w:lang w:eastAsia="fr-FR"/>
        </w:rPr>
        <w:t>à taux fixe</w:t>
      </w:r>
      <w:r w:rsidRPr="00672080">
        <w:rPr>
          <w:rFonts w:eastAsia="Times New Roman" w:cstheme="minorHAnsi"/>
          <w:color w:val="1F497D" w:themeColor="text2"/>
          <w:lang w:eastAsia="fr-FR"/>
        </w:rPr>
        <w:t>, puisque les taux variables permettent par définition de bénéficier des baisses de taux.</w:t>
      </w:r>
    </w:p>
    <w:p w:rsidR="00672080" w:rsidRPr="00672080" w:rsidRDefault="00672080" w:rsidP="00A07A23">
      <w:pPr>
        <w:shd w:val="clear" w:color="auto" w:fill="FFFFFF"/>
        <w:spacing w:after="0" w:line="240" w:lineRule="auto"/>
        <w:ind w:right="-408"/>
        <w:rPr>
          <w:rFonts w:eastAsia="Times New Roman" w:cstheme="minorHAnsi"/>
          <w:color w:val="1F497D" w:themeColor="text2"/>
          <w:lang w:eastAsia="fr-FR"/>
        </w:rPr>
      </w:pPr>
      <w:r w:rsidRPr="00672080">
        <w:rPr>
          <w:rFonts w:eastAsia="Times New Roman" w:cstheme="minorHAnsi"/>
          <w:color w:val="1F497D" w:themeColor="text2"/>
          <w:lang w:eastAsia="fr-FR"/>
        </w:rPr>
        <w:t>Pour refinancer un prêt à taux fixe, vous devrez payer des</w:t>
      </w:r>
      <w:r w:rsidRPr="00A07A23">
        <w:rPr>
          <w:rFonts w:eastAsia="Times New Roman" w:cstheme="minorHAnsi"/>
          <w:color w:val="1F497D" w:themeColor="text2"/>
          <w:lang w:eastAsia="fr-FR"/>
        </w:rPr>
        <w:t> </w:t>
      </w:r>
      <w:r w:rsidRPr="00A07A23">
        <w:rPr>
          <w:rFonts w:eastAsia="Times New Roman" w:cstheme="minorHAnsi"/>
          <w:b/>
          <w:bCs/>
          <w:color w:val="1F497D" w:themeColor="text2"/>
          <w:lang w:eastAsia="fr-FR"/>
        </w:rPr>
        <w:t>pénalités de remboursement anticipé</w:t>
      </w:r>
      <w:r w:rsidRPr="00672080">
        <w:rPr>
          <w:rFonts w:eastAsia="Times New Roman" w:cstheme="minorHAnsi"/>
          <w:color w:val="1F497D" w:themeColor="text2"/>
          <w:lang w:eastAsia="fr-FR"/>
        </w:rPr>
        <w:t>, qui peuvent s'élever jusqu'à 3% du capital restant dû.</w:t>
      </w:r>
    </w:p>
    <w:p w:rsidR="00672080" w:rsidRPr="00A07A23" w:rsidRDefault="00672080" w:rsidP="00A07A23">
      <w:pPr>
        <w:shd w:val="clear" w:color="auto" w:fill="FFFFFF"/>
        <w:spacing w:after="0" w:line="240" w:lineRule="auto"/>
        <w:ind w:right="-408"/>
        <w:rPr>
          <w:rFonts w:eastAsia="Times New Roman" w:cstheme="minorHAnsi"/>
          <w:color w:val="1F497D" w:themeColor="text2"/>
          <w:lang w:eastAsia="fr-FR"/>
        </w:rPr>
      </w:pPr>
    </w:p>
    <w:p w:rsidR="00672080" w:rsidRPr="00A07A23" w:rsidRDefault="00672080" w:rsidP="00A07A23">
      <w:pPr>
        <w:shd w:val="clear" w:color="auto" w:fill="FFFFFF"/>
        <w:spacing w:after="0" w:line="240" w:lineRule="auto"/>
        <w:ind w:right="-408"/>
        <w:rPr>
          <w:rFonts w:eastAsia="Times New Roman" w:cstheme="minorHAnsi"/>
          <w:color w:val="1F497D" w:themeColor="text2"/>
          <w:lang w:eastAsia="fr-FR"/>
        </w:rPr>
      </w:pPr>
      <w:r w:rsidRPr="00672080">
        <w:rPr>
          <w:rFonts w:eastAsia="Times New Roman" w:cstheme="minorHAnsi"/>
          <w:color w:val="1F497D" w:themeColor="text2"/>
          <w:lang w:eastAsia="fr-FR"/>
        </w:rPr>
        <w:t>En conclusion, le refinancement d'un crédit n'est intéressant que si vous pouvez obtenir un taux beaucoup plus bas que celui de votre crédit actuel, et s'il reste encore du temps de remboursement. Cette solution est avantageuse si les taux d'intérêt ont fortement baissé ou si votre situation financière s'est nettement améliorée depuis le moment où vous avez contracté l'emprunt.</w:t>
      </w:r>
    </w:p>
    <w:p w:rsidR="00672080" w:rsidRPr="00672080" w:rsidRDefault="00672080" w:rsidP="00A07A23">
      <w:pPr>
        <w:numPr>
          <w:ilvl w:val="0"/>
          <w:numId w:val="1"/>
        </w:numPr>
        <w:spacing w:before="100" w:beforeAutospacing="1" w:after="0" w:line="240" w:lineRule="auto"/>
        <w:ind w:left="0"/>
        <w:rPr>
          <w:rFonts w:ascii="Verdana" w:eastAsia="Times New Roman" w:hAnsi="Verdana" w:cs="Times New Roman"/>
          <w:color w:val="1F497D" w:themeColor="text2"/>
          <w:sz w:val="20"/>
          <w:szCs w:val="20"/>
          <w:lang w:eastAsia="fr-FR"/>
        </w:rPr>
      </w:pPr>
      <w:hyperlink r:id="rId6" w:anchor="834a6a9d14e0e0d28f897055435326ea" w:history="1">
        <w:r w:rsidRPr="00A07A23">
          <w:rPr>
            <w:rFonts w:ascii="Verdana" w:eastAsia="Times New Roman" w:hAnsi="Verdana" w:cs="Times New Roman"/>
            <w:color w:val="1F497D" w:themeColor="text2"/>
            <w:sz w:val="20"/>
            <w:lang w:eastAsia="fr-FR"/>
          </w:rPr>
          <w:t>Introduction au </w:t>
        </w:r>
        <w:r w:rsidRPr="00A07A23">
          <w:rPr>
            <w:rFonts w:ascii="Verdana" w:eastAsia="Times New Roman" w:hAnsi="Verdana" w:cs="Times New Roman"/>
            <w:b/>
            <w:bCs/>
            <w:color w:val="1F497D" w:themeColor="text2"/>
            <w:sz w:val="20"/>
            <w:lang w:eastAsia="fr-FR"/>
          </w:rPr>
          <w:t>rachat de crédit immobilier</w:t>
        </w:r>
      </w:hyperlink>
    </w:p>
    <w:p w:rsidR="00672080" w:rsidRPr="00672080" w:rsidRDefault="00672080" w:rsidP="00A07A23">
      <w:pPr>
        <w:numPr>
          <w:ilvl w:val="0"/>
          <w:numId w:val="1"/>
        </w:numPr>
        <w:spacing w:before="100" w:beforeAutospacing="1" w:after="0" w:line="240" w:lineRule="auto"/>
        <w:ind w:left="0"/>
        <w:rPr>
          <w:rFonts w:ascii="Verdana" w:eastAsia="Times New Roman" w:hAnsi="Verdana" w:cs="Times New Roman"/>
          <w:color w:val="1F497D" w:themeColor="text2"/>
          <w:sz w:val="20"/>
          <w:szCs w:val="20"/>
          <w:lang w:eastAsia="fr-FR"/>
        </w:rPr>
      </w:pPr>
      <w:hyperlink r:id="rId7" w:anchor="6de8e383d712150af4bac7c94b42aa22" w:history="1">
        <w:r w:rsidRPr="00A07A23">
          <w:rPr>
            <w:rFonts w:ascii="Verdana" w:eastAsia="Times New Roman" w:hAnsi="Verdana" w:cs="Times New Roman"/>
            <w:color w:val="1F497D" w:themeColor="text2"/>
            <w:sz w:val="20"/>
            <w:lang w:eastAsia="fr-FR"/>
          </w:rPr>
          <w:t>Les cas concernés par un </w:t>
        </w:r>
        <w:r w:rsidRPr="00A07A23">
          <w:rPr>
            <w:rFonts w:ascii="Verdana" w:eastAsia="Times New Roman" w:hAnsi="Verdana" w:cs="Times New Roman"/>
            <w:b/>
            <w:bCs/>
            <w:color w:val="1F497D" w:themeColor="text2"/>
            <w:sz w:val="20"/>
            <w:lang w:eastAsia="fr-FR"/>
          </w:rPr>
          <w:t>rachat de prêt immobilier</w:t>
        </w:r>
      </w:hyperlink>
    </w:p>
    <w:p w:rsidR="00672080" w:rsidRPr="00672080" w:rsidRDefault="00672080" w:rsidP="00A07A23">
      <w:pPr>
        <w:numPr>
          <w:ilvl w:val="0"/>
          <w:numId w:val="1"/>
        </w:numPr>
        <w:spacing w:before="100" w:beforeAutospacing="1" w:after="0" w:line="240" w:lineRule="auto"/>
        <w:ind w:left="0"/>
        <w:rPr>
          <w:rFonts w:ascii="Verdana" w:eastAsia="Times New Roman" w:hAnsi="Verdana" w:cs="Times New Roman"/>
          <w:color w:val="1F497D" w:themeColor="text2"/>
          <w:sz w:val="20"/>
          <w:szCs w:val="20"/>
          <w:lang w:eastAsia="fr-FR"/>
        </w:rPr>
      </w:pPr>
      <w:hyperlink r:id="rId8" w:anchor="a7ea82611f8a089fc6d7e2cb70318893" w:history="1">
        <w:r w:rsidRPr="00A07A23">
          <w:rPr>
            <w:rFonts w:ascii="Verdana" w:eastAsia="Times New Roman" w:hAnsi="Verdana" w:cs="Times New Roman"/>
            <w:color w:val="1F497D" w:themeColor="text2"/>
            <w:sz w:val="20"/>
            <w:lang w:eastAsia="fr-FR"/>
          </w:rPr>
          <w:t>Les frais de la </w:t>
        </w:r>
        <w:r w:rsidRPr="00A07A23">
          <w:rPr>
            <w:rFonts w:ascii="Verdana" w:eastAsia="Times New Roman" w:hAnsi="Verdana" w:cs="Times New Roman"/>
            <w:b/>
            <w:bCs/>
            <w:color w:val="1F497D" w:themeColor="text2"/>
            <w:sz w:val="20"/>
            <w:lang w:eastAsia="fr-FR"/>
          </w:rPr>
          <w:t>renégociation de crédit immobilier</w:t>
        </w:r>
      </w:hyperlink>
    </w:p>
    <w:p w:rsidR="00672080" w:rsidRPr="00672080" w:rsidRDefault="00672080" w:rsidP="00A07A23">
      <w:pPr>
        <w:numPr>
          <w:ilvl w:val="0"/>
          <w:numId w:val="1"/>
        </w:numPr>
        <w:spacing w:before="100" w:beforeAutospacing="1" w:after="0" w:line="240" w:lineRule="auto"/>
        <w:ind w:left="0"/>
        <w:rPr>
          <w:rFonts w:ascii="Verdana" w:eastAsia="Times New Roman" w:hAnsi="Verdana" w:cs="Times New Roman"/>
          <w:color w:val="1F497D" w:themeColor="text2"/>
          <w:sz w:val="20"/>
          <w:szCs w:val="20"/>
          <w:lang w:eastAsia="fr-FR"/>
        </w:rPr>
      </w:pPr>
      <w:hyperlink r:id="rId9" w:anchor="c511d5e7cefcc598a9a6dbc1223af0c2" w:history="1">
        <w:r w:rsidRPr="00A07A23">
          <w:rPr>
            <w:rFonts w:ascii="Verdana" w:eastAsia="Times New Roman" w:hAnsi="Verdana" w:cs="Times New Roman"/>
            <w:color w:val="1F497D" w:themeColor="text2"/>
            <w:sz w:val="20"/>
            <w:lang w:eastAsia="fr-FR"/>
          </w:rPr>
          <w:t>Exemple pour </w:t>
        </w:r>
        <w:r w:rsidRPr="00A07A23">
          <w:rPr>
            <w:rFonts w:ascii="Verdana" w:eastAsia="Times New Roman" w:hAnsi="Verdana" w:cs="Times New Roman"/>
            <w:b/>
            <w:bCs/>
            <w:color w:val="1F497D" w:themeColor="text2"/>
            <w:sz w:val="20"/>
            <w:lang w:eastAsia="fr-FR"/>
          </w:rPr>
          <w:t>renégocier un prêt</w:t>
        </w:r>
      </w:hyperlink>
    </w:p>
    <w:p w:rsidR="00672080" w:rsidRPr="00A07A23" w:rsidRDefault="00672080" w:rsidP="00A07A23">
      <w:pPr>
        <w:numPr>
          <w:ilvl w:val="0"/>
          <w:numId w:val="1"/>
        </w:numPr>
        <w:spacing w:before="100" w:beforeAutospacing="1" w:after="0" w:line="240" w:lineRule="auto"/>
        <w:ind w:left="0"/>
        <w:rPr>
          <w:rFonts w:ascii="Verdana" w:eastAsia="Times New Roman" w:hAnsi="Verdana" w:cs="Times New Roman"/>
          <w:color w:val="1F497D" w:themeColor="text2"/>
          <w:sz w:val="20"/>
          <w:szCs w:val="20"/>
          <w:lang w:eastAsia="fr-FR"/>
        </w:rPr>
      </w:pPr>
      <w:hyperlink r:id="rId10" w:anchor="c730d20cb76921ba261a4426cd77bea2" w:history="1">
        <w:r w:rsidRPr="00A07A23">
          <w:rPr>
            <w:rFonts w:ascii="Verdana" w:eastAsia="Times New Roman" w:hAnsi="Verdana" w:cs="Times New Roman"/>
            <w:color w:val="1F497D" w:themeColor="text2"/>
            <w:sz w:val="20"/>
            <w:lang w:eastAsia="fr-FR"/>
          </w:rPr>
          <w:t>Le </w:t>
        </w:r>
        <w:r w:rsidRPr="00A07A23">
          <w:rPr>
            <w:rFonts w:ascii="Verdana" w:eastAsia="Times New Roman" w:hAnsi="Verdana" w:cs="Times New Roman"/>
            <w:b/>
            <w:bCs/>
            <w:color w:val="1F497D" w:themeColor="text2"/>
            <w:sz w:val="20"/>
            <w:lang w:eastAsia="fr-FR"/>
          </w:rPr>
          <w:t>rachat de prêt bancaire</w:t>
        </w:r>
        <w:r w:rsidRPr="00A07A23">
          <w:rPr>
            <w:rFonts w:ascii="Verdana" w:eastAsia="Times New Roman" w:hAnsi="Verdana" w:cs="Times New Roman"/>
            <w:color w:val="1F497D" w:themeColor="text2"/>
            <w:sz w:val="20"/>
            <w:lang w:eastAsia="fr-FR"/>
          </w:rPr>
          <w:t> - En résumé</w:t>
        </w:r>
      </w:hyperlink>
    </w:p>
    <w:p w:rsidR="00A07A23" w:rsidRPr="00A07A23" w:rsidRDefault="00A07A23" w:rsidP="00A07A23">
      <w:pPr>
        <w:pStyle w:val="paragraphe"/>
        <w:numPr>
          <w:ilvl w:val="0"/>
          <w:numId w:val="4"/>
        </w:numPr>
        <w:spacing w:after="0" w:afterAutospacing="0"/>
        <w:jc w:val="both"/>
        <w:rPr>
          <w:rFonts w:asciiTheme="minorHAnsi" w:hAnsiTheme="minorHAnsi" w:cstheme="minorHAnsi"/>
          <w:color w:val="1F497D" w:themeColor="text2"/>
          <w:sz w:val="22"/>
          <w:szCs w:val="22"/>
        </w:rPr>
      </w:pPr>
      <w:r w:rsidRPr="00A07A23">
        <w:rPr>
          <w:rFonts w:asciiTheme="minorHAnsi" w:hAnsiTheme="minorHAnsi" w:cstheme="minorHAnsi"/>
          <w:b/>
          <w:color w:val="1F497D" w:themeColor="text2"/>
        </w:rPr>
        <w:t>Introduction</w:t>
      </w:r>
      <w:r w:rsidRPr="00A07A23">
        <w:rPr>
          <w:rFonts w:asciiTheme="minorHAnsi" w:hAnsiTheme="minorHAnsi" w:cstheme="minorHAnsi"/>
          <w:color w:val="1F497D" w:themeColor="text2"/>
          <w:sz w:val="22"/>
          <w:szCs w:val="22"/>
        </w:rPr>
        <w:br/>
        <w:t>Si vous avez souscrit, il y a quelques années, un prêt immobilier dont le taux est nettement supérieur à ceux auxquels vous pouvez prétendre en ce moment, il peut être intéressant de procéder à sa renégociation par votre banque ou à son rachat par un autre organisme financier.</w:t>
      </w:r>
    </w:p>
    <w:p w:rsidR="00A07A23" w:rsidRPr="00A07A23" w:rsidRDefault="00A07A23" w:rsidP="00A07A23">
      <w:pPr>
        <w:pStyle w:val="paragraphe"/>
        <w:spacing w:after="0" w:afterAutospacing="0"/>
        <w:jc w:val="both"/>
        <w:rPr>
          <w:rFonts w:asciiTheme="minorHAnsi" w:hAnsiTheme="minorHAnsi" w:cstheme="minorHAnsi"/>
          <w:color w:val="1F497D" w:themeColor="text2"/>
          <w:sz w:val="22"/>
          <w:szCs w:val="22"/>
        </w:rPr>
      </w:pPr>
      <w:r w:rsidRPr="00A07A23">
        <w:rPr>
          <w:rFonts w:asciiTheme="minorHAnsi" w:hAnsiTheme="minorHAnsi" w:cstheme="minorHAnsi"/>
          <w:color w:val="1F497D" w:themeColor="text2"/>
          <w:sz w:val="22"/>
          <w:szCs w:val="22"/>
        </w:rPr>
        <w:t>Dans la plupart des cas la renégociation est difficile à obtenir, mais si le taux offert par une banque concurrente est moins élevé, vous devriez peut- être étudier la possibilité de lui faire racheter votre crédit.</w:t>
      </w:r>
    </w:p>
    <w:p w:rsidR="00A07A23" w:rsidRPr="00A07A23" w:rsidRDefault="00A07A23" w:rsidP="00A07A23">
      <w:pPr>
        <w:pStyle w:val="paragraphe"/>
        <w:spacing w:before="0" w:beforeAutospacing="0" w:after="0" w:afterAutospacing="0"/>
        <w:jc w:val="both"/>
        <w:rPr>
          <w:rFonts w:asciiTheme="minorHAnsi" w:hAnsiTheme="minorHAnsi" w:cstheme="minorHAnsi"/>
          <w:color w:val="1F497D" w:themeColor="text2"/>
          <w:sz w:val="22"/>
          <w:szCs w:val="22"/>
        </w:rPr>
      </w:pPr>
      <w:r w:rsidRPr="00A07A23">
        <w:rPr>
          <w:rFonts w:asciiTheme="minorHAnsi" w:hAnsiTheme="minorHAnsi" w:cstheme="minorHAnsi"/>
          <w:color w:val="1F497D" w:themeColor="text2"/>
          <w:sz w:val="22"/>
          <w:szCs w:val="22"/>
        </w:rPr>
        <w:t>Cependant, pour que cette opération soit intéressante, il faut que le gain à réaliser sur le coût total du crédit soit suffisant pour prendre en considération tous les frais nécessaires au</w:t>
      </w:r>
      <w:r w:rsidRPr="00A07A23">
        <w:rPr>
          <w:rStyle w:val="apple-converted-space"/>
          <w:rFonts w:asciiTheme="minorHAnsi" w:hAnsiTheme="minorHAnsi" w:cstheme="minorHAnsi"/>
          <w:color w:val="1F497D" w:themeColor="text2"/>
          <w:sz w:val="22"/>
          <w:szCs w:val="22"/>
        </w:rPr>
        <w:t> </w:t>
      </w:r>
      <w:r w:rsidRPr="00A07A23">
        <w:rPr>
          <w:rFonts w:asciiTheme="minorHAnsi" w:hAnsiTheme="minorHAnsi" w:cstheme="minorHAnsi"/>
          <w:b/>
          <w:bCs/>
          <w:color w:val="1F497D" w:themeColor="text2"/>
          <w:sz w:val="22"/>
          <w:szCs w:val="22"/>
        </w:rPr>
        <w:t>rachat de crédit</w:t>
      </w:r>
      <w:r w:rsidRPr="00A07A23">
        <w:rPr>
          <w:rFonts w:asciiTheme="minorHAnsi" w:hAnsiTheme="minorHAnsi" w:cstheme="minorHAnsi"/>
          <w:color w:val="1F497D" w:themeColor="text2"/>
          <w:sz w:val="22"/>
          <w:szCs w:val="22"/>
        </w:rPr>
        <w:t> :</w:t>
      </w:r>
    </w:p>
    <w:tbl>
      <w:tblPr>
        <w:tblW w:w="0" w:type="auto"/>
        <w:tblCellMar>
          <w:left w:w="0" w:type="dxa"/>
          <w:right w:w="0" w:type="dxa"/>
        </w:tblCellMar>
        <w:tblLook w:val="04A0"/>
      </w:tblPr>
      <w:tblGrid>
        <w:gridCol w:w="8013"/>
        <w:gridCol w:w="1059"/>
      </w:tblGrid>
      <w:tr w:rsidR="00A07A23" w:rsidRPr="00A07A23" w:rsidTr="00A07A23">
        <w:tc>
          <w:tcPr>
            <w:tcW w:w="0" w:type="auto"/>
            <w:gridSpan w:val="2"/>
            <w:tcMar>
              <w:top w:w="0" w:type="dxa"/>
              <w:left w:w="0" w:type="dxa"/>
              <w:bottom w:w="90" w:type="dxa"/>
              <w:right w:w="0" w:type="dxa"/>
            </w:tcMar>
            <w:vAlign w:val="center"/>
            <w:hideMark/>
          </w:tcPr>
          <w:p w:rsidR="00A07A23" w:rsidRPr="00A07A23" w:rsidRDefault="00A07A23" w:rsidP="00A07A23">
            <w:pPr>
              <w:spacing w:after="0" w:line="240" w:lineRule="auto"/>
              <w:rPr>
                <w:rFonts w:cstheme="minorHAnsi"/>
                <w:color w:val="1F497D" w:themeColor="text2"/>
              </w:rPr>
            </w:pPr>
            <w:r w:rsidRPr="00A07A23">
              <w:rPr>
                <w:rFonts w:cstheme="minorHAnsi"/>
                <w:color w:val="1F497D" w:themeColor="text2"/>
              </w:rPr>
              <w:t>les</w:t>
            </w:r>
            <w:r w:rsidRPr="00A07A23">
              <w:rPr>
                <w:rStyle w:val="apple-converted-space"/>
                <w:rFonts w:cstheme="minorHAnsi"/>
                <w:color w:val="1F497D" w:themeColor="text2"/>
              </w:rPr>
              <w:t> </w:t>
            </w:r>
            <w:hyperlink r:id="rId11" w:history="1">
              <w:r w:rsidRPr="00A07A23">
                <w:rPr>
                  <w:rStyle w:val="Lienhypertexte"/>
                  <w:rFonts w:cstheme="minorHAnsi"/>
                  <w:color w:val="1F497D" w:themeColor="text2"/>
                  <w:u w:val="none"/>
                </w:rPr>
                <w:t>pénalités de remboursement anticipé</w:t>
              </w:r>
            </w:hyperlink>
            <w:r w:rsidRPr="00A07A23">
              <w:rPr>
                <w:rStyle w:val="apple-converted-space"/>
                <w:rFonts w:cstheme="minorHAnsi"/>
                <w:color w:val="1F497D" w:themeColor="text2"/>
              </w:rPr>
              <w:t> </w:t>
            </w:r>
            <w:r w:rsidRPr="00A07A23">
              <w:rPr>
                <w:rFonts w:cstheme="minorHAnsi"/>
                <w:color w:val="1F497D" w:themeColor="text2"/>
              </w:rPr>
              <w:t>(équivalentes à 6 mois d'intérêts et au maximum à 3 % du capital restant dû)</w:t>
            </w:r>
          </w:p>
        </w:tc>
      </w:tr>
      <w:tr w:rsidR="00A07A23" w:rsidRPr="00A07A23" w:rsidTr="00A07A23">
        <w:tc>
          <w:tcPr>
            <w:tcW w:w="0" w:type="auto"/>
            <w:gridSpan w:val="2"/>
            <w:tcMar>
              <w:top w:w="0" w:type="dxa"/>
              <w:left w:w="0" w:type="dxa"/>
              <w:bottom w:w="90" w:type="dxa"/>
              <w:right w:w="0" w:type="dxa"/>
            </w:tcMar>
            <w:vAlign w:val="center"/>
            <w:hideMark/>
          </w:tcPr>
          <w:p w:rsidR="00A07A23" w:rsidRPr="00A07A23" w:rsidRDefault="00A07A23" w:rsidP="00A07A23">
            <w:pPr>
              <w:spacing w:after="0" w:line="240" w:lineRule="auto"/>
              <w:rPr>
                <w:rFonts w:cstheme="minorHAnsi"/>
                <w:color w:val="1F497D" w:themeColor="text2"/>
              </w:rPr>
            </w:pPr>
            <w:r w:rsidRPr="00A07A23">
              <w:rPr>
                <w:rFonts w:cstheme="minorHAnsi"/>
                <w:color w:val="1F497D" w:themeColor="text2"/>
              </w:rPr>
              <w:t>les</w:t>
            </w:r>
            <w:r w:rsidRPr="00A07A23">
              <w:rPr>
                <w:rStyle w:val="apple-converted-space"/>
                <w:rFonts w:cstheme="minorHAnsi"/>
                <w:color w:val="1F497D" w:themeColor="text2"/>
              </w:rPr>
              <w:t> </w:t>
            </w:r>
            <w:hyperlink r:id="rId12" w:history="1">
              <w:r w:rsidRPr="00A07A23">
                <w:rPr>
                  <w:rStyle w:val="Lienhypertexte"/>
                  <w:rFonts w:cstheme="minorHAnsi"/>
                  <w:color w:val="1F497D" w:themeColor="text2"/>
                  <w:u w:val="none"/>
                </w:rPr>
                <w:t>frais de dossier</w:t>
              </w:r>
            </w:hyperlink>
            <w:r w:rsidRPr="00A07A23">
              <w:rPr>
                <w:rStyle w:val="apple-converted-space"/>
                <w:rFonts w:cstheme="minorHAnsi"/>
                <w:color w:val="1F497D" w:themeColor="text2"/>
              </w:rPr>
              <w:t> </w:t>
            </w:r>
            <w:r w:rsidRPr="00A07A23">
              <w:rPr>
                <w:rFonts w:cstheme="minorHAnsi"/>
                <w:color w:val="1F497D" w:themeColor="text2"/>
              </w:rPr>
              <w:t>du nouveau crédit (pouvant être négociés)</w:t>
            </w:r>
          </w:p>
        </w:tc>
      </w:tr>
      <w:tr w:rsidR="00A07A23" w:rsidRPr="00A07A23" w:rsidTr="00A07A23">
        <w:tc>
          <w:tcPr>
            <w:tcW w:w="0" w:type="auto"/>
            <w:gridSpan w:val="2"/>
            <w:tcMar>
              <w:top w:w="0" w:type="dxa"/>
              <w:left w:w="0" w:type="dxa"/>
              <w:bottom w:w="90" w:type="dxa"/>
              <w:right w:w="0" w:type="dxa"/>
            </w:tcMar>
            <w:vAlign w:val="center"/>
            <w:hideMark/>
          </w:tcPr>
          <w:p w:rsidR="00A07A23" w:rsidRPr="00A07A23" w:rsidRDefault="00A07A23" w:rsidP="00A07A23">
            <w:pPr>
              <w:spacing w:after="0" w:line="240" w:lineRule="auto"/>
              <w:rPr>
                <w:rFonts w:cstheme="minorHAnsi"/>
                <w:color w:val="1F497D" w:themeColor="text2"/>
              </w:rPr>
            </w:pPr>
            <w:r w:rsidRPr="00A07A23">
              <w:rPr>
                <w:rFonts w:cstheme="minorHAnsi"/>
                <w:color w:val="1F497D" w:themeColor="text2"/>
              </w:rPr>
              <w:t>les</w:t>
            </w:r>
            <w:r w:rsidRPr="00A07A23">
              <w:rPr>
                <w:rStyle w:val="apple-converted-space"/>
                <w:rFonts w:cstheme="minorHAnsi"/>
                <w:color w:val="1F497D" w:themeColor="text2"/>
              </w:rPr>
              <w:t> </w:t>
            </w:r>
            <w:hyperlink r:id="rId13" w:history="1">
              <w:r w:rsidRPr="00A07A23">
                <w:rPr>
                  <w:rStyle w:val="Lienhypertexte"/>
                  <w:rFonts w:cstheme="minorHAnsi"/>
                  <w:color w:val="1F497D" w:themeColor="text2"/>
                  <w:u w:val="none"/>
                </w:rPr>
                <w:t>frais de garantie</w:t>
              </w:r>
            </w:hyperlink>
            <w:r w:rsidRPr="00A07A23">
              <w:rPr>
                <w:rStyle w:val="apple-converted-space"/>
                <w:rFonts w:cstheme="minorHAnsi"/>
                <w:color w:val="1F497D" w:themeColor="text2"/>
              </w:rPr>
              <w:t> </w:t>
            </w:r>
            <w:r w:rsidRPr="00A07A23">
              <w:rPr>
                <w:rFonts w:cstheme="minorHAnsi"/>
                <w:color w:val="1F497D" w:themeColor="text2"/>
              </w:rPr>
              <w:t>(en cas de changement de banque).</w:t>
            </w:r>
          </w:p>
        </w:tc>
      </w:tr>
      <w:tr w:rsidR="00A07A23" w:rsidRPr="00A07A23" w:rsidTr="00A07A23">
        <w:trPr>
          <w:trHeight w:val="120"/>
        </w:trPr>
        <w:tc>
          <w:tcPr>
            <w:tcW w:w="0" w:type="auto"/>
            <w:vAlign w:val="center"/>
            <w:hideMark/>
          </w:tcPr>
          <w:p w:rsidR="00A07A23" w:rsidRPr="00A07A23" w:rsidRDefault="00A07A23" w:rsidP="00A07A23">
            <w:pPr>
              <w:pStyle w:val="Titre1"/>
              <w:spacing w:before="75" w:line="240" w:lineRule="auto"/>
              <w:ind w:right="75"/>
              <w:rPr>
                <w:rFonts w:asciiTheme="minorHAnsi" w:hAnsiTheme="minorHAnsi" w:cstheme="minorHAnsi"/>
                <w:color w:val="1F497D" w:themeColor="text2"/>
                <w:sz w:val="24"/>
                <w:szCs w:val="24"/>
              </w:rPr>
            </w:pPr>
            <w:r w:rsidRPr="00A07A23">
              <w:rPr>
                <w:rFonts w:asciiTheme="minorHAnsi" w:hAnsiTheme="minorHAnsi" w:cstheme="minorHAnsi"/>
                <w:color w:val="1F497D" w:themeColor="text2"/>
                <w:sz w:val="24"/>
                <w:szCs w:val="24"/>
              </w:rPr>
              <w:t>2. Les cas concernés par un</w:t>
            </w:r>
            <w:r w:rsidRPr="00A07A23">
              <w:rPr>
                <w:rStyle w:val="apple-converted-space"/>
                <w:rFonts w:asciiTheme="minorHAnsi" w:hAnsiTheme="minorHAnsi" w:cstheme="minorHAnsi"/>
                <w:color w:val="1F497D" w:themeColor="text2"/>
                <w:sz w:val="24"/>
                <w:szCs w:val="24"/>
              </w:rPr>
              <w:t> </w:t>
            </w:r>
            <w:r w:rsidRPr="00A07A23">
              <w:rPr>
                <w:rFonts w:asciiTheme="minorHAnsi" w:hAnsiTheme="minorHAnsi" w:cstheme="minorHAnsi"/>
                <w:color w:val="1F497D" w:themeColor="text2"/>
                <w:sz w:val="24"/>
                <w:szCs w:val="24"/>
              </w:rPr>
              <w:t>rachat de prêt immobilier</w:t>
            </w:r>
          </w:p>
        </w:tc>
        <w:tc>
          <w:tcPr>
            <w:tcW w:w="600" w:type="dxa"/>
            <w:shd w:val="clear" w:color="auto" w:fill="FFFFFF"/>
            <w:hideMark/>
          </w:tcPr>
          <w:p w:rsidR="00A07A23" w:rsidRPr="00A07A23" w:rsidRDefault="00A07A23" w:rsidP="00A07A23">
            <w:pPr>
              <w:spacing w:after="0" w:line="240" w:lineRule="auto"/>
              <w:jc w:val="right"/>
              <w:rPr>
                <w:color w:val="1F497D" w:themeColor="text2"/>
                <w:sz w:val="2"/>
                <w:szCs w:val="2"/>
              </w:rPr>
            </w:pPr>
          </w:p>
        </w:tc>
      </w:tr>
    </w:tbl>
    <w:p w:rsidR="00A07A23" w:rsidRPr="00A07A23" w:rsidRDefault="00A07A23" w:rsidP="00A07A23">
      <w:pPr>
        <w:pStyle w:val="Titre2"/>
        <w:spacing w:after="0" w:afterAutospacing="0"/>
        <w:rPr>
          <w:rFonts w:asciiTheme="minorHAnsi" w:hAnsiTheme="minorHAnsi" w:cstheme="minorHAnsi"/>
          <w:color w:val="1F497D" w:themeColor="text2"/>
          <w:sz w:val="22"/>
          <w:szCs w:val="22"/>
        </w:rPr>
      </w:pPr>
      <w:r w:rsidRPr="00A07A23">
        <w:rPr>
          <w:rFonts w:asciiTheme="minorHAnsi" w:hAnsiTheme="minorHAnsi" w:cstheme="minorHAnsi"/>
          <w:color w:val="1F497D" w:themeColor="text2"/>
          <w:sz w:val="22"/>
          <w:szCs w:val="22"/>
        </w:rPr>
        <w:t>Pour que votre opération de</w:t>
      </w:r>
      <w:r w:rsidRPr="00A07A23">
        <w:rPr>
          <w:rStyle w:val="apple-converted-space"/>
          <w:rFonts w:asciiTheme="minorHAnsi" w:hAnsiTheme="minorHAnsi" w:cstheme="minorHAnsi"/>
          <w:color w:val="1F497D" w:themeColor="text2"/>
          <w:sz w:val="22"/>
          <w:szCs w:val="22"/>
        </w:rPr>
        <w:t> </w:t>
      </w:r>
      <w:r w:rsidRPr="00A07A23">
        <w:rPr>
          <w:rFonts w:asciiTheme="minorHAnsi" w:hAnsiTheme="minorHAnsi" w:cstheme="minorHAnsi"/>
          <w:color w:val="1F497D" w:themeColor="text2"/>
          <w:sz w:val="22"/>
          <w:szCs w:val="22"/>
        </w:rPr>
        <w:t>rachat de crédit en ligne</w:t>
      </w:r>
      <w:r w:rsidRPr="00A07A23">
        <w:rPr>
          <w:rStyle w:val="apple-converted-space"/>
          <w:rFonts w:asciiTheme="minorHAnsi" w:hAnsiTheme="minorHAnsi" w:cstheme="minorHAnsi"/>
          <w:color w:val="1F497D" w:themeColor="text2"/>
          <w:sz w:val="22"/>
          <w:szCs w:val="22"/>
        </w:rPr>
        <w:t> </w:t>
      </w:r>
      <w:r w:rsidRPr="00A07A23">
        <w:rPr>
          <w:rFonts w:asciiTheme="minorHAnsi" w:hAnsiTheme="minorHAnsi" w:cstheme="minorHAnsi"/>
          <w:color w:val="1F497D" w:themeColor="text2"/>
          <w:sz w:val="22"/>
          <w:szCs w:val="22"/>
        </w:rPr>
        <w:t>soit profitable, plusieurs conditions sont à prendre en compte:</w:t>
      </w:r>
    </w:p>
    <w:p w:rsidR="00A07A23" w:rsidRPr="00A07A23" w:rsidRDefault="00A07A23" w:rsidP="00A07A23">
      <w:pPr>
        <w:numPr>
          <w:ilvl w:val="0"/>
          <w:numId w:val="2"/>
        </w:numPr>
        <w:spacing w:before="100" w:beforeAutospacing="1" w:after="0" w:line="240" w:lineRule="auto"/>
        <w:ind w:left="0"/>
        <w:rPr>
          <w:rFonts w:cstheme="minorHAnsi"/>
          <w:color w:val="1F497D" w:themeColor="text2"/>
        </w:rPr>
      </w:pPr>
      <w:r w:rsidRPr="00A07A23">
        <w:rPr>
          <w:rFonts w:cstheme="minorHAnsi"/>
          <w:color w:val="1F497D" w:themeColor="text2"/>
        </w:rPr>
        <w:lastRenderedPageBreak/>
        <w:t>La différence entre l'ancien taux et le nouveau taux doit être suffisante. En pratique, une différence de 1 % permet tout juste de ne pas perdre d'argent. Le gain commence à être intéressant à partir de 2 %.</w:t>
      </w:r>
    </w:p>
    <w:p w:rsidR="00A07A23" w:rsidRPr="00A07A23" w:rsidRDefault="00A07A23" w:rsidP="00A07A23">
      <w:pPr>
        <w:numPr>
          <w:ilvl w:val="0"/>
          <w:numId w:val="2"/>
        </w:numPr>
        <w:spacing w:before="100" w:beforeAutospacing="1" w:after="0" w:line="240" w:lineRule="auto"/>
        <w:ind w:left="0"/>
        <w:rPr>
          <w:rFonts w:cstheme="minorHAnsi"/>
          <w:color w:val="1F497D" w:themeColor="text2"/>
        </w:rPr>
      </w:pPr>
      <w:r w:rsidRPr="00A07A23">
        <w:rPr>
          <w:rFonts w:cstheme="minorHAnsi"/>
          <w:color w:val="1F497D" w:themeColor="text2"/>
        </w:rPr>
        <w:t>Le crédit en question doit être jeune. En général, un</w:t>
      </w:r>
      <w:r w:rsidRPr="00A07A23">
        <w:rPr>
          <w:rStyle w:val="apple-converted-space"/>
          <w:rFonts w:cstheme="minorHAnsi"/>
          <w:color w:val="1F497D" w:themeColor="text2"/>
        </w:rPr>
        <w:t> </w:t>
      </w:r>
      <w:r w:rsidRPr="00A07A23">
        <w:rPr>
          <w:rFonts w:cstheme="minorHAnsi"/>
          <w:b/>
          <w:bCs/>
          <w:color w:val="1F497D" w:themeColor="text2"/>
        </w:rPr>
        <w:t>rachat de crédit</w:t>
      </w:r>
      <w:r w:rsidRPr="00A07A23">
        <w:rPr>
          <w:rStyle w:val="apple-converted-space"/>
          <w:rFonts w:cstheme="minorHAnsi"/>
          <w:color w:val="1F497D" w:themeColor="text2"/>
        </w:rPr>
        <w:t> </w:t>
      </w:r>
      <w:r w:rsidRPr="00A07A23">
        <w:rPr>
          <w:rFonts w:cstheme="minorHAnsi"/>
          <w:color w:val="1F497D" w:themeColor="text2"/>
        </w:rPr>
        <w:t>effectué dans la première moitié du crédit permet au minimum de couvrir les</w:t>
      </w:r>
      <w:r w:rsidRPr="00A07A23">
        <w:rPr>
          <w:rStyle w:val="apple-converted-space"/>
          <w:rFonts w:cstheme="minorHAnsi"/>
          <w:color w:val="1F497D" w:themeColor="text2"/>
        </w:rPr>
        <w:t> </w:t>
      </w:r>
      <w:hyperlink r:id="rId14" w:history="1">
        <w:r w:rsidRPr="00A07A23">
          <w:rPr>
            <w:rStyle w:val="Lienhypertexte"/>
            <w:rFonts w:cstheme="minorHAnsi"/>
            <w:color w:val="1F497D" w:themeColor="text2"/>
          </w:rPr>
          <w:t xml:space="preserve">pénalités de </w:t>
        </w:r>
        <w:proofErr w:type="spellStart"/>
        <w:r w:rsidRPr="00A07A23">
          <w:rPr>
            <w:rStyle w:val="Lienhypertexte"/>
            <w:rFonts w:cstheme="minorHAnsi"/>
            <w:color w:val="1F497D" w:themeColor="text2"/>
          </w:rPr>
          <w:t>remboursement</w:t>
        </w:r>
      </w:hyperlink>
      <w:r w:rsidRPr="00A07A23">
        <w:rPr>
          <w:rFonts w:cstheme="minorHAnsi"/>
          <w:color w:val="1F497D" w:themeColor="text2"/>
        </w:rPr>
        <w:t>et</w:t>
      </w:r>
      <w:proofErr w:type="spellEnd"/>
      <w:r w:rsidRPr="00A07A23">
        <w:rPr>
          <w:rFonts w:cstheme="minorHAnsi"/>
          <w:color w:val="1F497D" w:themeColor="text2"/>
        </w:rPr>
        <w:t xml:space="preserve"> les frais associés au</w:t>
      </w:r>
      <w:r w:rsidRPr="00A07A23">
        <w:rPr>
          <w:rStyle w:val="apple-converted-space"/>
          <w:rFonts w:cstheme="minorHAnsi"/>
          <w:color w:val="1F497D" w:themeColor="text2"/>
        </w:rPr>
        <w:t> </w:t>
      </w:r>
      <w:r w:rsidRPr="00A07A23">
        <w:rPr>
          <w:rFonts w:cstheme="minorHAnsi"/>
          <w:b/>
          <w:bCs/>
          <w:color w:val="1F497D" w:themeColor="text2"/>
        </w:rPr>
        <w:t>rachat de crédit immobilier</w:t>
      </w:r>
      <w:r w:rsidRPr="00A07A23">
        <w:rPr>
          <w:rFonts w:cstheme="minorHAnsi"/>
          <w:color w:val="1F497D" w:themeColor="text2"/>
        </w:rPr>
        <w:t>.</w:t>
      </w:r>
    </w:p>
    <w:p w:rsidR="00A07A23" w:rsidRPr="00A07A23" w:rsidRDefault="00A07A23" w:rsidP="00A07A23">
      <w:pPr>
        <w:numPr>
          <w:ilvl w:val="0"/>
          <w:numId w:val="2"/>
        </w:numPr>
        <w:spacing w:before="100" w:beforeAutospacing="1" w:after="0" w:line="240" w:lineRule="auto"/>
        <w:ind w:left="0"/>
        <w:rPr>
          <w:rFonts w:cstheme="minorHAnsi"/>
          <w:color w:val="1F497D" w:themeColor="text2"/>
        </w:rPr>
      </w:pPr>
      <w:r w:rsidRPr="00A07A23">
        <w:rPr>
          <w:rFonts w:cstheme="minorHAnsi"/>
          <w:color w:val="1F497D" w:themeColor="text2"/>
        </w:rPr>
        <w:t>Que ce soit une</w:t>
      </w:r>
      <w:r w:rsidRPr="00A07A23">
        <w:rPr>
          <w:rStyle w:val="apple-converted-space"/>
          <w:rFonts w:cstheme="minorHAnsi"/>
          <w:color w:val="1F497D" w:themeColor="text2"/>
        </w:rPr>
        <w:t> </w:t>
      </w:r>
      <w:r w:rsidRPr="00A07A23">
        <w:rPr>
          <w:rFonts w:cstheme="minorHAnsi"/>
          <w:b/>
          <w:bCs/>
          <w:color w:val="1F497D" w:themeColor="text2"/>
        </w:rPr>
        <w:t>renégociation de crédit immobilier</w:t>
      </w:r>
      <w:r w:rsidRPr="00A07A23">
        <w:rPr>
          <w:rStyle w:val="apple-converted-space"/>
          <w:rFonts w:cstheme="minorHAnsi"/>
          <w:color w:val="1F497D" w:themeColor="text2"/>
        </w:rPr>
        <w:t> </w:t>
      </w:r>
      <w:r w:rsidRPr="00A07A23">
        <w:rPr>
          <w:rFonts w:cstheme="minorHAnsi"/>
          <w:color w:val="1F497D" w:themeColor="text2"/>
        </w:rPr>
        <w:t>ou un</w:t>
      </w:r>
      <w:r w:rsidRPr="00A07A23">
        <w:rPr>
          <w:rStyle w:val="apple-converted-space"/>
          <w:rFonts w:cstheme="minorHAnsi"/>
          <w:color w:val="1F497D" w:themeColor="text2"/>
        </w:rPr>
        <w:t> </w:t>
      </w:r>
      <w:r w:rsidRPr="00A07A23">
        <w:rPr>
          <w:rFonts w:cstheme="minorHAnsi"/>
          <w:b/>
          <w:bCs/>
          <w:color w:val="1F497D" w:themeColor="text2"/>
        </w:rPr>
        <w:t>rachat de crédit</w:t>
      </w:r>
      <w:r w:rsidRPr="00A07A23">
        <w:rPr>
          <w:rFonts w:cstheme="minorHAnsi"/>
          <w:color w:val="1F497D" w:themeColor="text2"/>
        </w:rPr>
        <w:t xml:space="preserve">, </w:t>
      </w:r>
      <w:proofErr w:type="spellStart"/>
      <w:r w:rsidRPr="00A07A23">
        <w:rPr>
          <w:rFonts w:cstheme="minorHAnsi"/>
          <w:color w:val="1F497D" w:themeColor="text2"/>
        </w:rPr>
        <w:t>les</w:t>
      </w:r>
      <w:hyperlink r:id="rId15" w:history="1">
        <w:r w:rsidRPr="00A07A23">
          <w:rPr>
            <w:rStyle w:val="Lienhypertexte"/>
            <w:rFonts w:cstheme="minorHAnsi"/>
            <w:color w:val="1F497D" w:themeColor="text2"/>
          </w:rPr>
          <w:t>pénalités</w:t>
        </w:r>
        <w:proofErr w:type="spellEnd"/>
        <w:r w:rsidRPr="00A07A23">
          <w:rPr>
            <w:rStyle w:val="Lienhypertexte"/>
            <w:rFonts w:cstheme="minorHAnsi"/>
            <w:color w:val="1F497D" w:themeColor="text2"/>
          </w:rPr>
          <w:t xml:space="preserve"> de remboursement</w:t>
        </w:r>
      </w:hyperlink>
      <w:r w:rsidRPr="00A07A23">
        <w:rPr>
          <w:rStyle w:val="apple-converted-space"/>
          <w:rFonts w:cstheme="minorHAnsi"/>
          <w:color w:val="1F497D" w:themeColor="text2"/>
        </w:rPr>
        <w:t> </w:t>
      </w:r>
      <w:r w:rsidRPr="00A07A23">
        <w:rPr>
          <w:rFonts w:cstheme="minorHAnsi"/>
          <w:color w:val="1F497D" w:themeColor="text2"/>
        </w:rPr>
        <w:t>ne seront pas dues par le client » est présente, mais que le « sauf</w:t>
      </w:r>
      <w:r w:rsidRPr="00A07A23">
        <w:rPr>
          <w:rStyle w:val="apple-converted-space"/>
          <w:rFonts w:cstheme="minorHAnsi"/>
          <w:color w:val="1F497D" w:themeColor="text2"/>
        </w:rPr>
        <w:t> </w:t>
      </w:r>
      <w:r w:rsidRPr="00A07A23">
        <w:rPr>
          <w:rFonts w:cstheme="minorHAnsi"/>
          <w:b/>
          <w:bCs/>
          <w:color w:val="1F497D" w:themeColor="text2"/>
        </w:rPr>
        <w:t>rachat du crédit</w:t>
      </w:r>
      <w:r w:rsidRPr="00A07A23">
        <w:rPr>
          <w:rStyle w:val="apple-converted-space"/>
          <w:rFonts w:cstheme="minorHAnsi"/>
          <w:color w:val="1F497D" w:themeColor="text2"/>
        </w:rPr>
        <w:t> </w:t>
      </w:r>
      <w:r w:rsidRPr="00A07A23">
        <w:rPr>
          <w:rFonts w:cstheme="minorHAnsi"/>
          <w:color w:val="1F497D" w:themeColor="text2"/>
        </w:rPr>
        <w:t>par la concurrence » n'apparaît pas dans les offres originales).</w:t>
      </w:r>
    </w:p>
    <w:p w:rsidR="00A07A23" w:rsidRPr="00A07A23" w:rsidRDefault="00A07A23" w:rsidP="00A07A23">
      <w:pPr>
        <w:numPr>
          <w:ilvl w:val="0"/>
          <w:numId w:val="2"/>
        </w:numPr>
        <w:tabs>
          <w:tab w:val="clear" w:pos="720"/>
          <w:tab w:val="num" w:pos="0"/>
        </w:tabs>
        <w:spacing w:before="100" w:beforeAutospacing="1" w:after="0" w:line="240" w:lineRule="auto"/>
        <w:ind w:left="0" w:hanging="120"/>
        <w:rPr>
          <w:rFonts w:cstheme="minorHAnsi"/>
          <w:color w:val="1F497D" w:themeColor="text2"/>
        </w:rPr>
      </w:pPr>
      <w:r w:rsidRPr="00A07A23">
        <w:rPr>
          <w:rFonts w:cstheme="minorHAnsi"/>
          <w:color w:val="1F497D" w:themeColor="text2"/>
        </w:rPr>
        <w:t>Les</w:t>
      </w:r>
      <w:r w:rsidRPr="00A07A23">
        <w:rPr>
          <w:rStyle w:val="apple-converted-space"/>
          <w:rFonts w:cstheme="minorHAnsi"/>
          <w:color w:val="1F497D" w:themeColor="text2"/>
        </w:rPr>
        <w:t> </w:t>
      </w:r>
      <w:hyperlink r:id="rId16" w:history="1">
        <w:r w:rsidRPr="00A07A23">
          <w:rPr>
            <w:rStyle w:val="Lienhypertexte"/>
            <w:rFonts w:cstheme="minorHAnsi"/>
            <w:color w:val="1F497D" w:themeColor="text2"/>
          </w:rPr>
          <w:t>frais de garantie</w:t>
        </w:r>
      </w:hyperlink>
      <w:r w:rsidRPr="00A07A23">
        <w:rPr>
          <w:rStyle w:val="apple-converted-space"/>
          <w:rFonts w:cstheme="minorHAnsi"/>
          <w:color w:val="1F497D" w:themeColor="text2"/>
        </w:rPr>
        <w:t> </w:t>
      </w:r>
      <w:r w:rsidRPr="00A07A23">
        <w:rPr>
          <w:rFonts w:cstheme="minorHAnsi"/>
          <w:color w:val="1F497D" w:themeColor="text2"/>
        </w:rPr>
        <w:t>varient selon le choix de celle-ci:</w:t>
      </w:r>
    </w:p>
    <w:tbl>
      <w:tblPr>
        <w:tblW w:w="0" w:type="auto"/>
        <w:tblInd w:w="720" w:type="dxa"/>
        <w:tblCellMar>
          <w:left w:w="0" w:type="dxa"/>
          <w:right w:w="0" w:type="dxa"/>
        </w:tblCellMar>
        <w:tblLook w:val="04A0"/>
      </w:tblPr>
      <w:tblGrid>
        <w:gridCol w:w="450"/>
        <w:gridCol w:w="4243"/>
      </w:tblGrid>
      <w:tr w:rsidR="00A07A23" w:rsidRPr="00A07A23" w:rsidTr="00A07A23">
        <w:tc>
          <w:tcPr>
            <w:tcW w:w="450" w:type="dxa"/>
            <w:hideMark/>
          </w:tcPr>
          <w:p w:rsidR="00A07A23" w:rsidRPr="00A07A23" w:rsidRDefault="00A07A23" w:rsidP="00A07A23">
            <w:pPr>
              <w:spacing w:before="150" w:after="0" w:line="240" w:lineRule="auto"/>
              <w:jc w:val="right"/>
              <w:rPr>
                <w:rFonts w:cstheme="minorHAnsi"/>
                <w:color w:val="1F497D" w:themeColor="text2"/>
              </w:rPr>
            </w:pPr>
            <w:r w:rsidRPr="00A07A23">
              <w:rPr>
                <w:rFonts w:cstheme="minorHAnsi"/>
                <w:color w:val="1F497D" w:themeColor="text2"/>
              </w:rPr>
              <w:t> </w:t>
            </w:r>
          </w:p>
        </w:tc>
        <w:tc>
          <w:tcPr>
            <w:tcW w:w="0" w:type="auto"/>
            <w:tcMar>
              <w:top w:w="0" w:type="dxa"/>
              <w:left w:w="0" w:type="dxa"/>
              <w:bottom w:w="90" w:type="dxa"/>
              <w:right w:w="0" w:type="dxa"/>
            </w:tcMar>
            <w:vAlign w:val="center"/>
            <w:hideMark/>
          </w:tcPr>
          <w:p w:rsidR="00A07A23" w:rsidRPr="00A07A23" w:rsidRDefault="00A07A23" w:rsidP="00A07A23">
            <w:pPr>
              <w:spacing w:before="150" w:after="0" w:line="240" w:lineRule="auto"/>
              <w:rPr>
                <w:rFonts w:cstheme="minorHAnsi"/>
                <w:color w:val="1F497D" w:themeColor="text2"/>
              </w:rPr>
            </w:pPr>
            <w:r w:rsidRPr="00A07A23">
              <w:rPr>
                <w:rFonts w:cstheme="minorHAnsi"/>
                <w:color w:val="1F497D" w:themeColor="text2"/>
              </w:rPr>
              <w:t>environ 2 % de l'encours, pour une</w:t>
            </w:r>
            <w:r w:rsidRPr="00A07A23">
              <w:rPr>
                <w:rStyle w:val="apple-converted-space"/>
                <w:rFonts w:cstheme="minorHAnsi"/>
                <w:color w:val="1F497D" w:themeColor="text2"/>
              </w:rPr>
              <w:t> </w:t>
            </w:r>
            <w:hyperlink r:id="rId17" w:history="1">
              <w:r w:rsidRPr="00A07A23">
                <w:rPr>
                  <w:rStyle w:val="Lienhypertexte"/>
                  <w:rFonts w:cstheme="minorHAnsi"/>
                  <w:color w:val="1F497D" w:themeColor="text2"/>
                </w:rPr>
                <w:t>hypothèque</w:t>
              </w:r>
            </w:hyperlink>
          </w:p>
        </w:tc>
      </w:tr>
      <w:tr w:rsidR="00A07A23" w:rsidRPr="00A07A23" w:rsidTr="00A07A23">
        <w:tc>
          <w:tcPr>
            <w:tcW w:w="450" w:type="dxa"/>
            <w:hideMark/>
          </w:tcPr>
          <w:p w:rsidR="00A07A23" w:rsidRPr="00A07A23" w:rsidRDefault="00A07A23" w:rsidP="00A07A23">
            <w:pPr>
              <w:spacing w:before="150" w:after="0" w:line="240" w:lineRule="auto"/>
              <w:jc w:val="right"/>
              <w:rPr>
                <w:color w:val="1F497D" w:themeColor="text2"/>
                <w:sz w:val="18"/>
                <w:szCs w:val="18"/>
              </w:rPr>
            </w:pPr>
            <w:r w:rsidRPr="00A07A23">
              <w:rPr>
                <w:color w:val="1F497D" w:themeColor="text2"/>
                <w:sz w:val="18"/>
                <w:szCs w:val="18"/>
              </w:rPr>
              <w:t> </w:t>
            </w:r>
          </w:p>
        </w:tc>
        <w:tc>
          <w:tcPr>
            <w:tcW w:w="0" w:type="auto"/>
            <w:tcMar>
              <w:top w:w="0" w:type="dxa"/>
              <w:left w:w="0" w:type="dxa"/>
              <w:bottom w:w="90" w:type="dxa"/>
              <w:right w:w="0" w:type="dxa"/>
            </w:tcMar>
            <w:vAlign w:val="center"/>
            <w:hideMark/>
          </w:tcPr>
          <w:p w:rsidR="00A07A23" w:rsidRPr="00A07A23" w:rsidRDefault="00A07A23" w:rsidP="00A07A23">
            <w:pPr>
              <w:spacing w:before="150" w:after="0" w:line="240" w:lineRule="auto"/>
              <w:rPr>
                <w:color w:val="1F497D" w:themeColor="text2"/>
                <w:sz w:val="16"/>
                <w:szCs w:val="16"/>
              </w:rPr>
            </w:pPr>
            <w:r w:rsidRPr="00A07A23">
              <w:rPr>
                <w:color w:val="1F497D" w:themeColor="text2"/>
                <w:sz w:val="16"/>
                <w:szCs w:val="16"/>
              </w:rPr>
              <w:t>environ 0,60 % pour la</w:t>
            </w:r>
            <w:r w:rsidRPr="00A07A23">
              <w:rPr>
                <w:rStyle w:val="apple-converted-space"/>
                <w:color w:val="1F497D" w:themeColor="text2"/>
                <w:sz w:val="16"/>
                <w:szCs w:val="16"/>
              </w:rPr>
              <w:t> </w:t>
            </w:r>
            <w:hyperlink r:id="rId18" w:history="1">
              <w:r w:rsidRPr="00A07A23">
                <w:rPr>
                  <w:rStyle w:val="Lienhypertexte"/>
                  <w:color w:val="1F497D" w:themeColor="text2"/>
                  <w:sz w:val="16"/>
                  <w:szCs w:val="16"/>
                </w:rPr>
                <w:t>caution crédit logement</w:t>
              </w:r>
            </w:hyperlink>
            <w:r w:rsidRPr="00A07A23">
              <w:rPr>
                <w:color w:val="1F497D" w:themeColor="text2"/>
                <w:sz w:val="16"/>
                <w:szCs w:val="16"/>
              </w:rPr>
              <w:t>.</w:t>
            </w:r>
          </w:p>
        </w:tc>
      </w:tr>
    </w:tbl>
    <w:p w:rsidR="00A07A23" w:rsidRPr="00A07A23" w:rsidRDefault="00A07A23" w:rsidP="00A07A23">
      <w:pPr>
        <w:numPr>
          <w:ilvl w:val="0"/>
          <w:numId w:val="2"/>
        </w:numPr>
        <w:spacing w:before="100" w:beforeAutospacing="1" w:after="0" w:line="240" w:lineRule="auto"/>
        <w:ind w:left="0"/>
        <w:rPr>
          <w:rFonts w:ascii="Verdana" w:hAnsi="Verdana"/>
          <w:color w:val="1F497D" w:themeColor="text2"/>
          <w:sz w:val="16"/>
          <w:szCs w:val="16"/>
        </w:rPr>
      </w:pPr>
      <w:r w:rsidRPr="00A07A23">
        <w:rPr>
          <w:rFonts w:ascii="Verdana" w:hAnsi="Verdana"/>
          <w:color w:val="1F497D" w:themeColor="text2"/>
          <w:sz w:val="16"/>
          <w:szCs w:val="16"/>
        </w:rPr>
        <w:t>Tous les frais associés au</w:t>
      </w:r>
      <w:r w:rsidRPr="00A07A23">
        <w:rPr>
          <w:rStyle w:val="apple-converted-space"/>
          <w:rFonts w:ascii="Verdana" w:hAnsi="Verdana"/>
          <w:color w:val="1F497D" w:themeColor="text2"/>
          <w:sz w:val="16"/>
          <w:szCs w:val="16"/>
        </w:rPr>
        <w:t> </w:t>
      </w:r>
      <w:r w:rsidRPr="00A07A23">
        <w:rPr>
          <w:rFonts w:ascii="Verdana" w:hAnsi="Verdana"/>
          <w:b/>
          <w:bCs/>
          <w:color w:val="1F497D" w:themeColor="text2"/>
          <w:sz w:val="16"/>
          <w:szCs w:val="16"/>
        </w:rPr>
        <w:t>rachat de crédit</w:t>
      </w:r>
      <w:r w:rsidRPr="00A07A23">
        <w:rPr>
          <w:rStyle w:val="apple-converted-space"/>
          <w:rFonts w:ascii="Verdana" w:hAnsi="Verdana"/>
          <w:color w:val="1F497D" w:themeColor="text2"/>
          <w:sz w:val="16"/>
          <w:szCs w:val="16"/>
        </w:rPr>
        <w:t> </w:t>
      </w:r>
      <w:r w:rsidRPr="00A07A23">
        <w:rPr>
          <w:rFonts w:ascii="Verdana" w:hAnsi="Verdana"/>
          <w:color w:val="1F497D" w:themeColor="text2"/>
          <w:sz w:val="16"/>
          <w:szCs w:val="16"/>
        </w:rPr>
        <w:t>(</w:t>
      </w:r>
      <w:hyperlink r:id="rId19" w:history="1">
        <w:r w:rsidRPr="00A07A23">
          <w:rPr>
            <w:rStyle w:val="Lienhypertexte"/>
            <w:rFonts w:ascii="Verdana" w:hAnsi="Verdana"/>
            <w:color w:val="1F497D" w:themeColor="text2"/>
            <w:sz w:val="16"/>
            <w:szCs w:val="16"/>
          </w:rPr>
          <w:t>de garantie</w:t>
        </w:r>
      </w:hyperlink>
      <w:r w:rsidRPr="00A07A23">
        <w:rPr>
          <w:rFonts w:ascii="Verdana" w:hAnsi="Verdana"/>
          <w:color w:val="1F497D" w:themeColor="text2"/>
          <w:sz w:val="16"/>
          <w:szCs w:val="16"/>
        </w:rPr>
        <w:t>, …) peuvent être ajoutés au capital à financer de votre nouveau crédit. Vous n'aurez donc aucune dépense à réaliser.</w:t>
      </w:r>
    </w:p>
    <w:p w:rsidR="00A07A23" w:rsidRPr="00A07A23" w:rsidRDefault="00A07A23" w:rsidP="00A07A23">
      <w:pPr>
        <w:numPr>
          <w:ilvl w:val="0"/>
          <w:numId w:val="2"/>
        </w:numPr>
        <w:spacing w:before="100" w:beforeAutospacing="1" w:after="0" w:line="240" w:lineRule="auto"/>
        <w:ind w:left="0"/>
        <w:rPr>
          <w:rFonts w:ascii="Verdana" w:hAnsi="Verdana"/>
          <w:color w:val="1F497D" w:themeColor="text2"/>
          <w:sz w:val="16"/>
          <w:szCs w:val="16"/>
        </w:rPr>
      </w:pPr>
      <w:r w:rsidRPr="00A07A23">
        <w:rPr>
          <w:rFonts w:ascii="Verdana" w:hAnsi="Verdana"/>
          <w:color w:val="1F497D" w:themeColor="text2"/>
          <w:sz w:val="16"/>
          <w:szCs w:val="16"/>
        </w:rPr>
        <w:t>Si vous avez remboursé plus de la moitié du capital restant dû de votre crédit, le gain lié au</w:t>
      </w:r>
      <w:r w:rsidRPr="00A07A23">
        <w:rPr>
          <w:rStyle w:val="apple-converted-space"/>
          <w:rFonts w:ascii="Verdana" w:hAnsi="Verdana"/>
          <w:color w:val="1F497D" w:themeColor="text2"/>
          <w:sz w:val="16"/>
          <w:szCs w:val="16"/>
        </w:rPr>
        <w:t> </w:t>
      </w:r>
      <w:r w:rsidRPr="00A07A23">
        <w:rPr>
          <w:rFonts w:ascii="Verdana" w:hAnsi="Verdana"/>
          <w:b/>
          <w:bCs/>
          <w:color w:val="1F497D" w:themeColor="text2"/>
          <w:sz w:val="16"/>
          <w:szCs w:val="16"/>
        </w:rPr>
        <w:t>rachat de crédit</w:t>
      </w:r>
      <w:r w:rsidRPr="00A07A23">
        <w:rPr>
          <w:rStyle w:val="apple-converted-space"/>
          <w:rFonts w:ascii="Verdana" w:hAnsi="Verdana"/>
          <w:color w:val="1F497D" w:themeColor="text2"/>
          <w:sz w:val="16"/>
          <w:szCs w:val="16"/>
        </w:rPr>
        <w:t> </w:t>
      </w:r>
      <w:r w:rsidRPr="00A07A23">
        <w:rPr>
          <w:rFonts w:ascii="Verdana" w:hAnsi="Verdana"/>
          <w:color w:val="1F497D" w:themeColor="text2"/>
          <w:sz w:val="16"/>
          <w:szCs w:val="16"/>
        </w:rPr>
        <w:t>risque d'être nul.</w:t>
      </w:r>
    </w:p>
    <w:tbl>
      <w:tblPr>
        <w:tblW w:w="5000" w:type="pct"/>
        <w:tblCellMar>
          <w:left w:w="0" w:type="dxa"/>
          <w:right w:w="0" w:type="dxa"/>
        </w:tblCellMar>
        <w:tblLook w:val="04A0"/>
      </w:tblPr>
      <w:tblGrid>
        <w:gridCol w:w="8472"/>
        <w:gridCol w:w="600"/>
      </w:tblGrid>
      <w:tr w:rsidR="00A07A23" w:rsidRPr="00A07A23" w:rsidTr="00A07A23">
        <w:trPr>
          <w:trHeight w:val="120"/>
        </w:trPr>
        <w:tc>
          <w:tcPr>
            <w:tcW w:w="0" w:type="auto"/>
            <w:vAlign w:val="center"/>
            <w:hideMark/>
          </w:tcPr>
          <w:p w:rsidR="00A07A23" w:rsidRPr="00A07A23" w:rsidRDefault="00A07A23" w:rsidP="00A07A23">
            <w:pPr>
              <w:pStyle w:val="Titre1"/>
              <w:spacing w:before="75" w:line="240" w:lineRule="auto"/>
              <w:ind w:left="75" w:right="75"/>
              <w:rPr>
                <w:rFonts w:asciiTheme="minorHAnsi" w:hAnsiTheme="minorHAnsi" w:cstheme="minorHAnsi"/>
                <w:color w:val="1F497D" w:themeColor="text2"/>
                <w:sz w:val="22"/>
                <w:szCs w:val="22"/>
              </w:rPr>
            </w:pPr>
            <w:r w:rsidRPr="00A07A23">
              <w:rPr>
                <w:rFonts w:asciiTheme="minorHAnsi" w:hAnsiTheme="minorHAnsi" w:cstheme="minorHAnsi"/>
                <w:color w:val="1F497D" w:themeColor="text2"/>
                <w:sz w:val="22"/>
                <w:szCs w:val="22"/>
              </w:rPr>
              <w:t>Les frais de la</w:t>
            </w:r>
            <w:r w:rsidRPr="00A07A23">
              <w:rPr>
                <w:rStyle w:val="apple-converted-space"/>
                <w:rFonts w:asciiTheme="minorHAnsi" w:hAnsiTheme="minorHAnsi" w:cstheme="minorHAnsi"/>
                <w:color w:val="1F497D" w:themeColor="text2"/>
                <w:sz w:val="22"/>
                <w:szCs w:val="22"/>
              </w:rPr>
              <w:t> </w:t>
            </w:r>
            <w:r w:rsidRPr="00A07A23">
              <w:rPr>
                <w:rFonts w:asciiTheme="minorHAnsi" w:hAnsiTheme="minorHAnsi" w:cstheme="minorHAnsi"/>
                <w:color w:val="1F497D" w:themeColor="text2"/>
                <w:sz w:val="22"/>
                <w:szCs w:val="22"/>
              </w:rPr>
              <w:t>renégociation de crédit immobilier</w:t>
            </w:r>
          </w:p>
        </w:tc>
        <w:tc>
          <w:tcPr>
            <w:tcW w:w="600" w:type="dxa"/>
            <w:shd w:val="clear" w:color="auto" w:fill="FFFFFF"/>
            <w:hideMark/>
          </w:tcPr>
          <w:p w:rsidR="00A07A23" w:rsidRPr="00A07A23" w:rsidRDefault="00A07A23" w:rsidP="00A07A23">
            <w:pPr>
              <w:spacing w:after="0" w:line="240" w:lineRule="auto"/>
              <w:jc w:val="right"/>
              <w:rPr>
                <w:rFonts w:cstheme="minorHAnsi"/>
                <w:color w:val="1F497D" w:themeColor="text2"/>
              </w:rPr>
            </w:pPr>
          </w:p>
        </w:tc>
      </w:tr>
    </w:tbl>
    <w:p w:rsidR="00A07A23" w:rsidRPr="00871EB1" w:rsidRDefault="00871EB1" w:rsidP="00871EB1">
      <w:pPr>
        <w:pStyle w:val="Titre2"/>
        <w:spacing w:after="0" w:afterAutospacing="0"/>
        <w:rPr>
          <w:rFonts w:asciiTheme="minorHAnsi" w:hAnsiTheme="minorHAnsi" w:cstheme="minorHAnsi"/>
          <w:color w:val="1F497D" w:themeColor="text2"/>
          <w:sz w:val="24"/>
          <w:szCs w:val="24"/>
        </w:rPr>
      </w:pPr>
      <w:r w:rsidRPr="00871EB1">
        <w:rPr>
          <w:rFonts w:asciiTheme="minorHAnsi" w:hAnsiTheme="minorHAnsi" w:cstheme="minorHAnsi"/>
          <w:color w:val="1F497D" w:themeColor="text2"/>
          <w:sz w:val="24"/>
          <w:szCs w:val="24"/>
        </w:rPr>
        <w:t>3.</w:t>
      </w:r>
      <w:r w:rsidR="00A07A23" w:rsidRPr="00871EB1">
        <w:rPr>
          <w:rFonts w:asciiTheme="minorHAnsi" w:hAnsiTheme="minorHAnsi" w:cstheme="minorHAnsi"/>
          <w:color w:val="1F497D" w:themeColor="text2"/>
          <w:sz w:val="24"/>
          <w:szCs w:val="24"/>
        </w:rPr>
        <w:t>La</w:t>
      </w:r>
      <w:r w:rsidR="00A07A23" w:rsidRPr="00871EB1">
        <w:rPr>
          <w:rStyle w:val="apple-converted-space"/>
          <w:rFonts w:asciiTheme="minorHAnsi" w:hAnsiTheme="minorHAnsi" w:cstheme="minorHAnsi"/>
          <w:color w:val="1F497D" w:themeColor="text2"/>
          <w:sz w:val="24"/>
          <w:szCs w:val="24"/>
        </w:rPr>
        <w:t> </w:t>
      </w:r>
      <w:r w:rsidR="00A07A23" w:rsidRPr="00871EB1">
        <w:rPr>
          <w:rFonts w:asciiTheme="minorHAnsi" w:hAnsiTheme="minorHAnsi" w:cstheme="minorHAnsi"/>
          <w:color w:val="1F497D" w:themeColor="text2"/>
          <w:sz w:val="24"/>
          <w:szCs w:val="24"/>
        </w:rPr>
        <w:t>renégociation de crédit immobilier</w:t>
      </w:r>
    </w:p>
    <w:p w:rsidR="00A07A23" w:rsidRPr="00A07A23" w:rsidRDefault="00A07A23" w:rsidP="00A07A23">
      <w:pPr>
        <w:pStyle w:val="paragraphe"/>
        <w:spacing w:after="0" w:afterAutospacing="0"/>
        <w:jc w:val="both"/>
        <w:rPr>
          <w:rFonts w:asciiTheme="minorHAnsi" w:hAnsiTheme="minorHAnsi" w:cstheme="minorHAnsi"/>
          <w:color w:val="1F497D" w:themeColor="text2"/>
          <w:sz w:val="22"/>
          <w:szCs w:val="22"/>
        </w:rPr>
      </w:pPr>
      <w:r w:rsidRPr="00A07A23">
        <w:rPr>
          <w:rFonts w:asciiTheme="minorHAnsi" w:hAnsiTheme="minorHAnsi" w:cstheme="minorHAnsi"/>
          <w:color w:val="1F497D" w:themeColor="text2"/>
          <w:sz w:val="22"/>
          <w:szCs w:val="22"/>
        </w:rPr>
        <w:t>Si vous renégociez dans la même banque, les frais seront composés des</w:t>
      </w:r>
      <w:r w:rsidR="00871EB1">
        <w:rPr>
          <w:rFonts w:asciiTheme="minorHAnsi" w:hAnsiTheme="minorHAnsi" w:cstheme="minorHAnsi"/>
          <w:color w:val="1F497D" w:themeColor="text2"/>
          <w:sz w:val="22"/>
          <w:szCs w:val="22"/>
        </w:rPr>
        <w:t xml:space="preserve"> </w:t>
      </w:r>
      <w:hyperlink r:id="rId20" w:history="1">
        <w:r w:rsidR="00871EB1">
          <w:rPr>
            <w:rStyle w:val="Lienhypertexte"/>
            <w:rFonts w:asciiTheme="minorHAnsi" w:hAnsiTheme="minorHAnsi" w:cstheme="minorHAnsi"/>
            <w:color w:val="1F497D" w:themeColor="text2"/>
            <w:sz w:val="22"/>
            <w:szCs w:val="22"/>
            <w:u w:val="none"/>
          </w:rPr>
          <w:t xml:space="preserve">indemnités </w:t>
        </w:r>
        <w:r w:rsidRPr="00A07A23">
          <w:rPr>
            <w:rStyle w:val="Lienhypertexte"/>
            <w:rFonts w:asciiTheme="minorHAnsi" w:hAnsiTheme="minorHAnsi" w:cstheme="minorHAnsi"/>
            <w:color w:val="1F497D" w:themeColor="text2"/>
            <w:sz w:val="22"/>
            <w:szCs w:val="22"/>
            <w:u w:val="none"/>
          </w:rPr>
          <w:t>de remboursement anticipé</w:t>
        </w:r>
      </w:hyperlink>
      <w:r w:rsidRPr="00A07A23">
        <w:rPr>
          <w:rStyle w:val="apple-converted-space"/>
          <w:rFonts w:asciiTheme="minorHAnsi" w:hAnsiTheme="minorHAnsi" w:cstheme="minorHAnsi"/>
          <w:color w:val="1F497D" w:themeColor="text2"/>
          <w:sz w:val="22"/>
          <w:szCs w:val="22"/>
        </w:rPr>
        <w:t> </w:t>
      </w:r>
      <w:r w:rsidRPr="00A07A23">
        <w:rPr>
          <w:rFonts w:asciiTheme="minorHAnsi" w:hAnsiTheme="minorHAnsi" w:cstheme="minorHAnsi"/>
          <w:color w:val="1F497D" w:themeColor="text2"/>
          <w:sz w:val="22"/>
          <w:szCs w:val="22"/>
        </w:rPr>
        <w:t>et des</w:t>
      </w:r>
      <w:r w:rsidRPr="00A07A23">
        <w:rPr>
          <w:rStyle w:val="apple-converted-space"/>
          <w:rFonts w:asciiTheme="minorHAnsi" w:hAnsiTheme="minorHAnsi" w:cstheme="minorHAnsi"/>
          <w:color w:val="1F497D" w:themeColor="text2"/>
          <w:sz w:val="22"/>
          <w:szCs w:val="22"/>
        </w:rPr>
        <w:t> </w:t>
      </w:r>
      <w:hyperlink r:id="rId21" w:history="1">
        <w:r w:rsidRPr="00A07A23">
          <w:rPr>
            <w:rStyle w:val="Lienhypertexte"/>
            <w:rFonts w:asciiTheme="minorHAnsi" w:hAnsiTheme="minorHAnsi" w:cstheme="minorHAnsi"/>
            <w:color w:val="1F497D" w:themeColor="text2"/>
            <w:sz w:val="22"/>
            <w:szCs w:val="22"/>
            <w:u w:val="none"/>
          </w:rPr>
          <w:t>frais de dossier</w:t>
        </w:r>
      </w:hyperlink>
      <w:r w:rsidRPr="00A07A23">
        <w:rPr>
          <w:rFonts w:asciiTheme="minorHAnsi" w:hAnsiTheme="minorHAnsi" w:cstheme="minorHAnsi"/>
          <w:color w:val="1F497D" w:themeColor="text2"/>
          <w:sz w:val="22"/>
          <w:szCs w:val="22"/>
        </w:rPr>
        <w:t>.</w:t>
      </w:r>
    </w:p>
    <w:p w:rsidR="00A07A23" w:rsidRPr="00A07A23" w:rsidRDefault="00A07A23" w:rsidP="00A07A23">
      <w:pPr>
        <w:numPr>
          <w:ilvl w:val="0"/>
          <w:numId w:val="5"/>
        </w:numPr>
        <w:spacing w:before="100" w:beforeAutospacing="1" w:after="0" w:line="240" w:lineRule="auto"/>
        <w:rPr>
          <w:rFonts w:cstheme="minorHAnsi"/>
          <w:color w:val="1F497D" w:themeColor="text2"/>
        </w:rPr>
      </w:pPr>
      <w:r w:rsidRPr="00A07A23">
        <w:rPr>
          <w:rFonts w:cstheme="minorHAnsi"/>
          <w:color w:val="1F497D" w:themeColor="text2"/>
        </w:rPr>
        <w:t>Les</w:t>
      </w:r>
      <w:r w:rsidRPr="00A07A23">
        <w:rPr>
          <w:rStyle w:val="apple-converted-space"/>
          <w:rFonts w:cstheme="minorHAnsi"/>
          <w:color w:val="1F497D" w:themeColor="text2"/>
        </w:rPr>
        <w:t> </w:t>
      </w:r>
      <w:hyperlink r:id="rId22" w:history="1">
        <w:r w:rsidRPr="00A07A23">
          <w:rPr>
            <w:rStyle w:val="Lienhypertexte"/>
            <w:rFonts w:cstheme="minorHAnsi"/>
            <w:color w:val="1F497D" w:themeColor="text2"/>
            <w:u w:val="none"/>
          </w:rPr>
          <w:t>indemnités de remboursement anticipé</w:t>
        </w:r>
      </w:hyperlink>
      <w:r w:rsidRPr="00A07A23">
        <w:rPr>
          <w:rStyle w:val="apple-converted-space"/>
          <w:rFonts w:cstheme="minorHAnsi"/>
          <w:color w:val="1F497D" w:themeColor="text2"/>
        </w:rPr>
        <w:t> </w:t>
      </w:r>
      <w:r w:rsidRPr="00A07A23">
        <w:rPr>
          <w:rFonts w:cstheme="minorHAnsi"/>
          <w:color w:val="1F497D" w:themeColor="text2"/>
        </w:rPr>
        <w:t>sont généralement équivalentes à 6 mois d'intérêts et sont limitées par la loi à 3 % du capital restant dû.</w:t>
      </w:r>
    </w:p>
    <w:p w:rsidR="00A07A23" w:rsidRPr="00A07A23" w:rsidRDefault="00A07A23" w:rsidP="00A07A23">
      <w:pPr>
        <w:numPr>
          <w:ilvl w:val="0"/>
          <w:numId w:val="5"/>
        </w:numPr>
        <w:spacing w:before="100" w:beforeAutospacing="1" w:after="0" w:line="240" w:lineRule="auto"/>
        <w:rPr>
          <w:rFonts w:cstheme="minorHAnsi"/>
          <w:color w:val="1F497D" w:themeColor="text2"/>
        </w:rPr>
      </w:pPr>
      <w:r w:rsidRPr="00A07A23">
        <w:rPr>
          <w:rFonts w:cstheme="minorHAnsi"/>
          <w:color w:val="1F497D" w:themeColor="text2"/>
        </w:rPr>
        <w:t>Les</w:t>
      </w:r>
      <w:r w:rsidRPr="00A07A23">
        <w:rPr>
          <w:rStyle w:val="apple-converted-space"/>
          <w:rFonts w:cstheme="minorHAnsi"/>
          <w:color w:val="1F497D" w:themeColor="text2"/>
        </w:rPr>
        <w:t> </w:t>
      </w:r>
      <w:hyperlink r:id="rId23" w:history="1">
        <w:r w:rsidRPr="00A07A23">
          <w:rPr>
            <w:rStyle w:val="Lienhypertexte"/>
            <w:rFonts w:cstheme="minorHAnsi"/>
            <w:color w:val="1F497D" w:themeColor="text2"/>
            <w:u w:val="none"/>
          </w:rPr>
          <w:t>frais de dossier</w:t>
        </w:r>
      </w:hyperlink>
      <w:r w:rsidRPr="00A07A23">
        <w:rPr>
          <w:rStyle w:val="apple-converted-space"/>
          <w:rFonts w:cstheme="minorHAnsi"/>
          <w:color w:val="1F497D" w:themeColor="text2"/>
        </w:rPr>
        <w:t> </w:t>
      </w:r>
      <w:r w:rsidRPr="00A07A23">
        <w:rPr>
          <w:rFonts w:cstheme="minorHAnsi"/>
          <w:color w:val="1F497D" w:themeColor="text2"/>
        </w:rPr>
        <w:t>sont négociables, tout comme pour un achat classique, que vous renégociez dans la banque d'origine ou que le prêt soit racheté à la concurrence.</w:t>
      </w:r>
    </w:p>
    <w:p w:rsidR="00A07A23" w:rsidRPr="00871EB1" w:rsidRDefault="00871EB1" w:rsidP="00A07A23">
      <w:pPr>
        <w:pStyle w:val="Titre2"/>
        <w:spacing w:after="0" w:afterAutospacing="0"/>
        <w:rPr>
          <w:rFonts w:asciiTheme="minorHAnsi" w:hAnsiTheme="minorHAnsi" w:cstheme="minorHAnsi"/>
          <w:color w:val="1F497D" w:themeColor="text2"/>
          <w:sz w:val="24"/>
          <w:szCs w:val="24"/>
        </w:rPr>
      </w:pPr>
      <w:r w:rsidRPr="00871EB1">
        <w:rPr>
          <w:rFonts w:asciiTheme="minorHAnsi" w:hAnsiTheme="minorHAnsi" w:cstheme="minorHAnsi"/>
          <w:color w:val="1F497D" w:themeColor="text2"/>
          <w:sz w:val="24"/>
          <w:szCs w:val="24"/>
        </w:rPr>
        <w:t>4.</w:t>
      </w:r>
      <w:r w:rsidR="00A07A23" w:rsidRPr="00871EB1">
        <w:rPr>
          <w:rFonts w:asciiTheme="minorHAnsi" w:hAnsiTheme="minorHAnsi" w:cstheme="minorHAnsi"/>
          <w:color w:val="1F497D" w:themeColor="text2"/>
          <w:sz w:val="24"/>
          <w:szCs w:val="24"/>
        </w:rPr>
        <w:t>Le</w:t>
      </w:r>
      <w:r w:rsidR="00A07A23" w:rsidRPr="00871EB1">
        <w:rPr>
          <w:rStyle w:val="apple-converted-space"/>
          <w:rFonts w:asciiTheme="minorHAnsi" w:hAnsiTheme="minorHAnsi" w:cstheme="minorHAnsi"/>
          <w:color w:val="1F497D" w:themeColor="text2"/>
          <w:sz w:val="24"/>
          <w:szCs w:val="24"/>
        </w:rPr>
        <w:t> </w:t>
      </w:r>
      <w:r w:rsidR="00A07A23" w:rsidRPr="00871EB1">
        <w:rPr>
          <w:rFonts w:asciiTheme="minorHAnsi" w:hAnsiTheme="minorHAnsi" w:cstheme="minorHAnsi"/>
          <w:color w:val="1F497D" w:themeColor="text2"/>
          <w:sz w:val="24"/>
          <w:szCs w:val="24"/>
        </w:rPr>
        <w:t>rachat de prêt bancaire</w:t>
      </w:r>
    </w:p>
    <w:p w:rsidR="00A07A23" w:rsidRPr="00A07A23" w:rsidRDefault="00A07A23" w:rsidP="00A07A23">
      <w:pPr>
        <w:pStyle w:val="paragraphe"/>
        <w:spacing w:after="0" w:afterAutospacing="0"/>
        <w:jc w:val="both"/>
        <w:rPr>
          <w:rFonts w:asciiTheme="minorHAnsi" w:hAnsiTheme="minorHAnsi" w:cstheme="minorHAnsi"/>
          <w:color w:val="1F497D" w:themeColor="text2"/>
          <w:sz w:val="22"/>
          <w:szCs w:val="22"/>
        </w:rPr>
      </w:pPr>
      <w:r w:rsidRPr="00A07A23">
        <w:rPr>
          <w:rFonts w:asciiTheme="minorHAnsi" w:hAnsiTheme="minorHAnsi" w:cstheme="minorHAnsi"/>
          <w:color w:val="1F497D" w:themeColor="text2"/>
          <w:sz w:val="22"/>
          <w:szCs w:val="22"/>
        </w:rPr>
        <w:t xml:space="preserve">Si vous décidez de changer de banque, les frais seront composés </w:t>
      </w:r>
      <w:proofErr w:type="spellStart"/>
      <w:r w:rsidRPr="00A07A23">
        <w:rPr>
          <w:rFonts w:asciiTheme="minorHAnsi" w:hAnsiTheme="minorHAnsi" w:cstheme="minorHAnsi"/>
          <w:color w:val="1F497D" w:themeColor="text2"/>
          <w:sz w:val="22"/>
          <w:szCs w:val="22"/>
        </w:rPr>
        <w:t>des</w:t>
      </w:r>
      <w:hyperlink r:id="rId24" w:history="1">
        <w:r w:rsidRPr="00A07A23">
          <w:rPr>
            <w:rStyle w:val="Lienhypertexte"/>
            <w:rFonts w:asciiTheme="minorHAnsi" w:hAnsiTheme="minorHAnsi" w:cstheme="minorHAnsi"/>
            <w:color w:val="1F497D" w:themeColor="text2"/>
            <w:sz w:val="22"/>
            <w:szCs w:val="22"/>
            <w:u w:val="none"/>
          </w:rPr>
          <w:t>indemnités</w:t>
        </w:r>
        <w:proofErr w:type="spellEnd"/>
        <w:r w:rsidRPr="00A07A23">
          <w:rPr>
            <w:rStyle w:val="Lienhypertexte"/>
            <w:rFonts w:asciiTheme="minorHAnsi" w:hAnsiTheme="minorHAnsi" w:cstheme="minorHAnsi"/>
            <w:color w:val="1F497D" w:themeColor="text2"/>
            <w:sz w:val="22"/>
            <w:szCs w:val="22"/>
            <w:u w:val="none"/>
          </w:rPr>
          <w:t xml:space="preserve"> de remboursement anticipé</w:t>
        </w:r>
      </w:hyperlink>
      <w:r w:rsidRPr="00A07A23">
        <w:rPr>
          <w:rFonts w:asciiTheme="minorHAnsi" w:hAnsiTheme="minorHAnsi" w:cstheme="minorHAnsi"/>
          <w:color w:val="1F497D" w:themeColor="text2"/>
          <w:sz w:val="22"/>
          <w:szCs w:val="22"/>
        </w:rPr>
        <w:t>, des</w:t>
      </w:r>
      <w:r w:rsidRPr="00A07A23">
        <w:rPr>
          <w:rStyle w:val="apple-converted-space"/>
          <w:rFonts w:asciiTheme="minorHAnsi" w:hAnsiTheme="minorHAnsi" w:cstheme="minorHAnsi"/>
          <w:color w:val="1F497D" w:themeColor="text2"/>
          <w:sz w:val="22"/>
          <w:szCs w:val="22"/>
        </w:rPr>
        <w:t> </w:t>
      </w:r>
      <w:hyperlink r:id="rId25" w:history="1">
        <w:r w:rsidRPr="00A07A23">
          <w:rPr>
            <w:rStyle w:val="Lienhypertexte"/>
            <w:rFonts w:asciiTheme="minorHAnsi" w:hAnsiTheme="minorHAnsi" w:cstheme="minorHAnsi"/>
            <w:color w:val="1F497D" w:themeColor="text2"/>
            <w:sz w:val="22"/>
            <w:szCs w:val="22"/>
            <w:u w:val="none"/>
          </w:rPr>
          <w:t>frais de dossier</w:t>
        </w:r>
      </w:hyperlink>
      <w:r w:rsidRPr="00A07A23">
        <w:rPr>
          <w:rStyle w:val="apple-converted-space"/>
          <w:rFonts w:asciiTheme="minorHAnsi" w:hAnsiTheme="minorHAnsi" w:cstheme="minorHAnsi"/>
          <w:color w:val="1F497D" w:themeColor="text2"/>
          <w:sz w:val="22"/>
          <w:szCs w:val="22"/>
        </w:rPr>
        <w:t> </w:t>
      </w:r>
      <w:r w:rsidRPr="00A07A23">
        <w:rPr>
          <w:rFonts w:asciiTheme="minorHAnsi" w:hAnsiTheme="minorHAnsi" w:cstheme="minorHAnsi"/>
          <w:color w:val="1F497D" w:themeColor="text2"/>
          <w:sz w:val="22"/>
          <w:szCs w:val="22"/>
        </w:rPr>
        <w:t>et des</w:t>
      </w:r>
      <w:r w:rsidRPr="00A07A23">
        <w:rPr>
          <w:rStyle w:val="apple-converted-space"/>
          <w:rFonts w:asciiTheme="minorHAnsi" w:hAnsiTheme="minorHAnsi" w:cstheme="minorHAnsi"/>
          <w:color w:val="1F497D" w:themeColor="text2"/>
          <w:sz w:val="22"/>
          <w:szCs w:val="22"/>
        </w:rPr>
        <w:t> </w:t>
      </w:r>
      <w:hyperlink r:id="rId26" w:history="1">
        <w:r w:rsidRPr="00A07A23">
          <w:rPr>
            <w:rStyle w:val="Lienhypertexte"/>
            <w:rFonts w:asciiTheme="minorHAnsi" w:hAnsiTheme="minorHAnsi" w:cstheme="minorHAnsi"/>
            <w:color w:val="1F497D" w:themeColor="text2"/>
            <w:sz w:val="22"/>
            <w:szCs w:val="22"/>
            <w:u w:val="none"/>
          </w:rPr>
          <w:t>frais de garanties</w:t>
        </w:r>
      </w:hyperlink>
      <w:r w:rsidRPr="00A07A23">
        <w:rPr>
          <w:rFonts w:asciiTheme="minorHAnsi" w:hAnsiTheme="minorHAnsi" w:cstheme="minorHAnsi"/>
          <w:color w:val="1F497D" w:themeColor="text2"/>
          <w:sz w:val="22"/>
          <w:szCs w:val="22"/>
        </w:rPr>
        <w:t>.</w:t>
      </w:r>
    </w:p>
    <w:p w:rsidR="00A07A23" w:rsidRPr="00A07A23" w:rsidRDefault="00A07A23" w:rsidP="00A07A23">
      <w:pPr>
        <w:numPr>
          <w:ilvl w:val="0"/>
          <w:numId w:val="6"/>
        </w:numPr>
        <w:spacing w:before="100" w:beforeAutospacing="1" w:after="0" w:line="240" w:lineRule="auto"/>
        <w:rPr>
          <w:rFonts w:cstheme="minorHAnsi"/>
          <w:color w:val="1F497D" w:themeColor="text2"/>
        </w:rPr>
      </w:pPr>
      <w:r w:rsidRPr="00A07A23">
        <w:rPr>
          <w:rFonts w:cstheme="minorHAnsi"/>
          <w:color w:val="1F497D" w:themeColor="text2"/>
        </w:rPr>
        <w:t>Les</w:t>
      </w:r>
      <w:r w:rsidRPr="00A07A23">
        <w:rPr>
          <w:rStyle w:val="apple-converted-space"/>
          <w:rFonts w:cstheme="minorHAnsi"/>
          <w:color w:val="1F497D" w:themeColor="text2"/>
        </w:rPr>
        <w:t> </w:t>
      </w:r>
      <w:hyperlink r:id="rId27" w:history="1">
        <w:r w:rsidRPr="00A07A23">
          <w:rPr>
            <w:rStyle w:val="Lienhypertexte"/>
            <w:rFonts w:cstheme="minorHAnsi"/>
            <w:color w:val="1F497D" w:themeColor="text2"/>
            <w:u w:val="none"/>
          </w:rPr>
          <w:t>indemnités de remboursement anticipé</w:t>
        </w:r>
      </w:hyperlink>
      <w:r w:rsidRPr="00A07A23">
        <w:rPr>
          <w:rStyle w:val="apple-converted-space"/>
          <w:rFonts w:cstheme="minorHAnsi"/>
          <w:color w:val="1F497D" w:themeColor="text2"/>
        </w:rPr>
        <w:t> </w:t>
      </w:r>
      <w:r w:rsidRPr="00A07A23">
        <w:rPr>
          <w:rFonts w:cstheme="minorHAnsi"/>
          <w:color w:val="1F497D" w:themeColor="text2"/>
        </w:rPr>
        <w:t>sont généralement équivalentes à 6 mois d'intérêts et sont limitées par la loi à 3 % du capital restant dû.</w:t>
      </w:r>
    </w:p>
    <w:p w:rsidR="00A07A23" w:rsidRPr="00A07A23" w:rsidRDefault="00A07A23" w:rsidP="00A07A23">
      <w:pPr>
        <w:numPr>
          <w:ilvl w:val="0"/>
          <w:numId w:val="6"/>
        </w:numPr>
        <w:spacing w:after="0" w:line="240" w:lineRule="auto"/>
        <w:rPr>
          <w:rFonts w:cstheme="minorHAnsi"/>
          <w:color w:val="1F497D" w:themeColor="text2"/>
        </w:rPr>
      </w:pPr>
      <w:r w:rsidRPr="00A07A23">
        <w:rPr>
          <w:rFonts w:cstheme="minorHAnsi"/>
          <w:color w:val="1F497D" w:themeColor="text2"/>
        </w:rPr>
        <w:t>Les</w:t>
      </w:r>
      <w:r w:rsidRPr="00A07A23">
        <w:rPr>
          <w:rStyle w:val="apple-converted-space"/>
          <w:rFonts w:cstheme="minorHAnsi"/>
          <w:color w:val="1F497D" w:themeColor="text2"/>
        </w:rPr>
        <w:t> </w:t>
      </w:r>
      <w:hyperlink r:id="rId28" w:history="1">
        <w:r w:rsidRPr="00A07A23">
          <w:rPr>
            <w:rStyle w:val="Lienhypertexte"/>
            <w:rFonts w:cstheme="minorHAnsi"/>
            <w:color w:val="1F497D" w:themeColor="text2"/>
            <w:u w:val="none"/>
          </w:rPr>
          <w:t>frais de dossier</w:t>
        </w:r>
      </w:hyperlink>
      <w:r w:rsidRPr="00A07A23">
        <w:rPr>
          <w:rStyle w:val="apple-converted-space"/>
          <w:rFonts w:cstheme="minorHAnsi"/>
          <w:color w:val="1F497D" w:themeColor="text2"/>
        </w:rPr>
        <w:t> </w:t>
      </w:r>
      <w:r w:rsidRPr="00A07A23">
        <w:rPr>
          <w:rFonts w:cstheme="minorHAnsi"/>
          <w:color w:val="1F497D" w:themeColor="text2"/>
        </w:rPr>
        <w:t>peuvent être négociés. Ils pourront être:</w:t>
      </w:r>
    </w:p>
    <w:tbl>
      <w:tblPr>
        <w:tblW w:w="0" w:type="auto"/>
        <w:tblInd w:w="720" w:type="dxa"/>
        <w:tblCellMar>
          <w:left w:w="0" w:type="dxa"/>
          <w:right w:w="0" w:type="dxa"/>
        </w:tblCellMar>
        <w:tblLook w:val="04A0"/>
      </w:tblPr>
      <w:tblGrid>
        <w:gridCol w:w="450"/>
        <w:gridCol w:w="5016"/>
      </w:tblGrid>
      <w:tr w:rsidR="00A07A23" w:rsidRPr="00A07A23" w:rsidTr="00A07A23">
        <w:tc>
          <w:tcPr>
            <w:tcW w:w="450" w:type="dxa"/>
            <w:hideMark/>
          </w:tcPr>
          <w:p w:rsidR="00A07A23" w:rsidRPr="00A07A23" w:rsidRDefault="00A07A23" w:rsidP="00A07A23">
            <w:pPr>
              <w:spacing w:after="0" w:line="240" w:lineRule="auto"/>
              <w:jc w:val="right"/>
              <w:rPr>
                <w:rFonts w:cstheme="minorHAnsi"/>
                <w:color w:val="1F497D" w:themeColor="text2"/>
              </w:rPr>
            </w:pPr>
            <w:r w:rsidRPr="00A07A23">
              <w:rPr>
                <w:rFonts w:cstheme="minorHAnsi"/>
                <w:color w:val="1F497D" w:themeColor="text2"/>
              </w:rPr>
              <w:t> </w:t>
            </w:r>
          </w:p>
        </w:tc>
        <w:tc>
          <w:tcPr>
            <w:tcW w:w="0" w:type="auto"/>
            <w:tcMar>
              <w:top w:w="0" w:type="dxa"/>
              <w:left w:w="0" w:type="dxa"/>
              <w:bottom w:w="90" w:type="dxa"/>
              <w:right w:w="0" w:type="dxa"/>
            </w:tcMar>
            <w:vAlign w:val="center"/>
            <w:hideMark/>
          </w:tcPr>
          <w:p w:rsidR="00A07A23" w:rsidRPr="00A07A23" w:rsidRDefault="00A07A23" w:rsidP="00A07A23">
            <w:pPr>
              <w:spacing w:after="0" w:line="240" w:lineRule="auto"/>
              <w:rPr>
                <w:rFonts w:cstheme="minorHAnsi"/>
                <w:color w:val="1F497D" w:themeColor="text2"/>
              </w:rPr>
            </w:pPr>
            <w:r w:rsidRPr="00A07A23">
              <w:rPr>
                <w:rFonts w:cstheme="minorHAnsi"/>
                <w:color w:val="1F497D" w:themeColor="text2"/>
              </w:rPr>
              <w:t>gratuits</w:t>
            </w:r>
          </w:p>
        </w:tc>
      </w:tr>
      <w:tr w:rsidR="00A07A23" w:rsidRPr="00A07A23" w:rsidTr="00A07A23">
        <w:tc>
          <w:tcPr>
            <w:tcW w:w="450" w:type="dxa"/>
            <w:hideMark/>
          </w:tcPr>
          <w:p w:rsidR="00A07A23" w:rsidRPr="00A07A23" w:rsidRDefault="00A07A23" w:rsidP="00A07A23">
            <w:pPr>
              <w:spacing w:after="0" w:line="240" w:lineRule="auto"/>
              <w:jc w:val="right"/>
              <w:rPr>
                <w:rFonts w:cstheme="minorHAnsi"/>
                <w:color w:val="1F497D" w:themeColor="text2"/>
              </w:rPr>
            </w:pPr>
            <w:r w:rsidRPr="00A07A23">
              <w:rPr>
                <w:rFonts w:cstheme="minorHAnsi"/>
                <w:color w:val="1F497D" w:themeColor="text2"/>
              </w:rPr>
              <w:t> </w:t>
            </w:r>
          </w:p>
        </w:tc>
        <w:tc>
          <w:tcPr>
            <w:tcW w:w="0" w:type="auto"/>
            <w:tcMar>
              <w:top w:w="0" w:type="dxa"/>
              <w:left w:w="0" w:type="dxa"/>
              <w:bottom w:w="90" w:type="dxa"/>
              <w:right w:w="0" w:type="dxa"/>
            </w:tcMar>
            <w:vAlign w:val="center"/>
            <w:hideMark/>
          </w:tcPr>
          <w:p w:rsidR="00A07A23" w:rsidRPr="00A07A23" w:rsidRDefault="00A07A23" w:rsidP="00A07A23">
            <w:pPr>
              <w:spacing w:after="0" w:line="240" w:lineRule="auto"/>
              <w:rPr>
                <w:rFonts w:cstheme="minorHAnsi"/>
                <w:color w:val="1F497D" w:themeColor="text2"/>
              </w:rPr>
            </w:pPr>
            <w:r w:rsidRPr="00A07A23">
              <w:rPr>
                <w:rFonts w:cstheme="minorHAnsi"/>
                <w:color w:val="1F497D" w:themeColor="text2"/>
              </w:rPr>
              <w:t>constitués d'un forfait avoisinant les 150 €</w:t>
            </w:r>
          </w:p>
        </w:tc>
      </w:tr>
      <w:tr w:rsidR="00A07A23" w:rsidRPr="00A07A23" w:rsidTr="00A07A23">
        <w:tc>
          <w:tcPr>
            <w:tcW w:w="450" w:type="dxa"/>
            <w:hideMark/>
          </w:tcPr>
          <w:p w:rsidR="00A07A23" w:rsidRPr="00A07A23" w:rsidRDefault="00A07A23" w:rsidP="00A07A23">
            <w:pPr>
              <w:spacing w:after="0" w:line="240" w:lineRule="auto"/>
              <w:jc w:val="right"/>
              <w:rPr>
                <w:rFonts w:cstheme="minorHAnsi"/>
                <w:color w:val="1F497D" w:themeColor="text2"/>
              </w:rPr>
            </w:pPr>
            <w:r w:rsidRPr="00A07A23">
              <w:rPr>
                <w:rFonts w:cstheme="minorHAnsi"/>
                <w:color w:val="1F497D" w:themeColor="text2"/>
              </w:rPr>
              <w:t> </w:t>
            </w:r>
          </w:p>
        </w:tc>
        <w:tc>
          <w:tcPr>
            <w:tcW w:w="0" w:type="auto"/>
            <w:tcMar>
              <w:top w:w="0" w:type="dxa"/>
              <w:left w:w="0" w:type="dxa"/>
              <w:bottom w:w="90" w:type="dxa"/>
              <w:right w:w="0" w:type="dxa"/>
            </w:tcMar>
            <w:vAlign w:val="center"/>
            <w:hideMark/>
          </w:tcPr>
          <w:p w:rsidR="00A07A23" w:rsidRPr="00A07A23" w:rsidRDefault="00A07A23" w:rsidP="00A07A23">
            <w:pPr>
              <w:spacing w:after="0" w:line="240" w:lineRule="auto"/>
              <w:rPr>
                <w:rFonts w:cstheme="minorHAnsi"/>
                <w:color w:val="1F497D" w:themeColor="text2"/>
              </w:rPr>
            </w:pPr>
            <w:r w:rsidRPr="00A07A23">
              <w:rPr>
                <w:rFonts w:cstheme="minorHAnsi"/>
                <w:color w:val="1F497D" w:themeColor="text2"/>
              </w:rPr>
              <w:t>un pourcentage du montant emprunté (en général 1 %).</w:t>
            </w:r>
          </w:p>
        </w:tc>
      </w:tr>
    </w:tbl>
    <w:p w:rsidR="00A07A23" w:rsidRPr="00A07A23" w:rsidRDefault="00A07A23" w:rsidP="00A07A23">
      <w:pPr>
        <w:numPr>
          <w:ilvl w:val="0"/>
          <w:numId w:val="6"/>
        </w:numPr>
        <w:spacing w:after="0" w:line="240" w:lineRule="auto"/>
        <w:rPr>
          <w:rFonts w:cstheme="minorHAnsi"/>
          <w:color w:val="1F497D" w:themeColor="text2"/>
        </w:rPr>
      </w:pPr>
      <w:r w:rsidRPr="00A07A23">
        <w:rPr>
          <w:rFonts w:cstheme="minorHAnsi"/>
          <w:color w:val="1F497D" w:themeColor="text2"/>
        </w:rPr>
        <w:t>Les</w:t>
      </w:r>
      <w:r w:rsidRPr="00A07A23">
        <w:rPr>
          <w:rStyle w:val="apple-converted-space"/>
          <w:rFonts w:cstheme="minorHAnsi"/>
          <w:color w:val="1F497D" w:themeColor="text2"/>
        </w:rPr>
        <w:t> </w:t>
      </w:r>
      <w:hyperlink r:id="rId29" w:history="1">
        <w:r w:rsidRPr="00A07A23">
          <w:rPr>
            <w:rStyle w:val="Lienhypertexte"/>
            <w:rFonts w:cstheme="minorHAnsi"/>
            <w:color w:val="1F497D" w:themeColor="text2"/>
            <w:u w:val="none"/>
          </w:rPr>
          <w:t>frais de garantie</w:t>
        </w:r>
      </w:hyperlink>
      <w:r w:rsidRPr="00A07A23">
        <w:rPr>
          <w:rStyle w:val="apple-converted-space"/>
          <w:rFonts w:cstheme="minorHAnsi"/>
          <w:color w:val="1F497D" w:themeColor="text2"/>
        </w:rPr>
        <w:t> </w:t>
      </w:r>
      <w:r w:rsidRPr="00A07A23">
        <w:rPr>
          <w:rFonts w:cstheme="minorHAnsi"/>
          <w:color w:val="1F497D" w:themeColor="text2"/>
        </w:rPr>
        <w:t>varient selon la garantie choisie.</w:t>
      </w:r>
    </w:p>
    <w:p w:rsidR="00A07A23" w:rsidRPr="00A07A23" w:rsidRDefault="00A07A23" w:rsidP="00A07A23">
      <w:pPr>
        <w:spacing w:after="0" w:line="240" w:lineRule="auto"/>
        <w:rPr>
          <w:rFonts w:ascii="Verdana" w:eastAsia="Times New Roman" w:hAnsi="Verdana" w:cs="Times New Roman"/>
          <w:color w:val="5E91A8"/>
          <w:sz w:val="20"/>
          <w:szCs w:val="20"/>
          <w:lang w:eastAsia="fr-FR"/>
        </w:rPr>
      </w:pPr>
    </w:p>
    <w:sectPr w:rsidR="00A07A23" w:rsidRPr="00A07A23"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FB1"/>
    <w:multiLevelType w:val="multilevel"/>
    <w:tmpl w:val="46D0221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E51DB7"/>
    <w:multiLevelType w:val="multilevel"/>
    <w:tmpl w:val="4928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D83860"/>
    <w:multiLevelType w:val="multilevel"/>
    <w:tmpl w:val="297E3A9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1227BD"/>
    <w:multiLevelType w:val="hybridMultilevel"/>
    <w:tmpl w:val="24B46A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E1D63EB"/>
    <w:multiLevelType w:val="hybridMultilevel"/>
    <w:tmpl w:val="659CA40C"/>
    <w:lvl w:ilvl="0" w:tplc="4D82032E">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F802C71"/>
    <w:multiLevelType w:val="multilevel"/>
    <w:tmpl w:val="4A64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672080"/>
    <w:rsid w:val="00063D6D"/>
    <w:rsid w:val="00672080"/>
    <w:rsid w:val="00871EB1"/>
    <w:rsid w:val="00A07A23"/>
    <w:rsid w:val="00C32BBC"/>
    <w:rsid w:val="00D95664"/>
    <w:rsid w:val="00E6293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1">
    <w:name w:val="heading 1"/>
    <w:basedOn w:val="Normal"/>
    <w:next w:val="Normal"/>
    <w:link w:val="Titre1Car"/>
    <w:uiPriority w:val="9"/>
    <w:qFormat/>
    <w:rsid w:val="00A07A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7208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72080"/>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6720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672080"/>
  </w:style>
  <w:style w:type="character" w:styleId="lev">
    <w:name w:val="Strong"/>
    <w:basedOn w:val="Policepardfaut"/>
    <w:uiPriority w:val="22"/>
    <w:qFormat/>
    <w:rsid w:val="00672080"/>
    <w:rPr>
      <w:b/>
      <w:bCs/>
    </w:rPr>
  </w:style>
  <w:style w:type="character" w:styleId="Lienhypertexte">
    <w:name w:val="Hyperlink"/>
    <w:basedOn w:val="Policepardfaut"/>
    <w:uiPriority w:val="99"/>
    <w:semiHidden/>
    <w:unhideWhenUsed/>
    <w:rsid w:val="00672080"/>
    <w:rPr>
      <w:color w:val="0000FF"/>
      <w:u w:val="single"/>
    </w:rPr>
  </w:style>
  <w:style w:type="character" w:customStyle="1" w:styleId="Titre1Car">
    <w:name w:val="Titre 1 Car"/>
    <w:basedOn w:val="Policepardfaut"/>
    <w:link w:val="Titre1"/>
    <w:uiPriority w:val="9"/>
    <w:rsid w:val="00A07A23"/>
    <w:rPr>
      <w:rFonts w:asciiTheme="majorHAnsi" w:eastAsiaTheme="majorEastAsia" w:hAnsiTheme="majorHAnsi" w:cstheme="majorBidi"/>
      <w:b/>
      <w:bCs/>
      <w:color w:val="365F91" w:themeColor="accent1" w:themeShade="BF"/>
      <w:sz w:val="28"/>
      <w:szCs w:val="28"/>
    </w:rPr>
  </w:style>
  <w:style w:type="paragraph" w:customStyle="1" w:styleId="paragraphe">
    <w:name w:val="paragraphe"/>
    <w:basedOn w:val="Normal"/>
    <w:rsid w:val="00A07A2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07A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7A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647027">
      <w:bodyDiv w:val="1"/>
      <w:marLeft w:val="0"/>
      <w:marRight w:val="0"/>
      <w:marTop w:val="0"/>
      <w:marBottom w:val="0"/>
      <w:divBdr>
        <w:top w:val="none" w:sz="0" w:space="0" w:color="auto"/>
        <w:left w:val="none" w:sz="0" w:space="0" w:color="auto"/>
        <w:bottom w:val="none" w:sz="0" w:space="0" w:color="auto"/>
        <w:right w:val="none" w:sz="0" w:space="0" w:color="auto"/>
      </w:divBdr>
      <w:divsChild>
        <w:div w:id="2059892067">
          <w:marLeft w:val="0"/>
          <w:marRight w:val="0"/>
          <w:marTop w:val="150"/>
          <w:marBottom w:val="150"/>
          <w:divBdr>
            <w:top w:val="none" w:sz="0" w:space="0" w:color="auto"/>
            <w:left w:val="none" w:sz="0" w:space="0" w:color="auto"/>
            <w:bottom w:val="none" w:sz="0" w:space="0" w:color="auto"/>
            <w:right w:val="none" w:sz="0" w:space="0" w:color="auto"/>
          </w:divBdr>
          <w:divsChild>
            <w:div w:id="1722823476">
              <w:marLeft w:val="0"/>
              <w:marRight w:val="0"/>
              <w:marTop w:val="0"/>
              <w:marBottom w:val="0"/>
              <w:divBdr>
                <w:top w:val="none" w:sz="0" w:space="0" w:color="auto"/>
                <w:left w:val="none" w:sz="0" w:space="0" w:color="auto"/>
                <w:bottom w:val="none" w:sz="0" w:space="0" w:color="auto"/>
                <w:right w:val="none" w:sz="0" w:space="0" w:color="auto"/>
              </w:divBdr>
              <w:divsChild>
                <w:div w:id="13863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1675">
          <w:marLeft w:val="0"/>
          <w:marRight w:val="0"/>
          <w:marTop w:val="0"/>
          <w:marBottom w:val="0"/>
          <w:divBdr>
            <w:top w:val="none" w:sz="0" w:space="0" w:color="auto"/>
            <w:left w:val="none" w:sz="0" w:space="0" w:color="auto"/>
            <w:bottom w:val="none" w:sz="0" w:space="0" w:color="auto"/>
            <w:right w:val="none" w:sz="0" w:space="0" w:color="auto"/>
          </w:divBdr>
          <w:divsChild>
            <w:div w:id="414471355">
              <w:marLeft w:val="180"/>
              <w:marRight w:val="0"/>
              <w:marTop w:val="0"/>
              <w:marBottom w:val="0"/>
              <w:divBdr>
                <w:top w:val="none" w:sz="0" w:space="0" w:color="auto"/>
                <w:left w:val="none" w:sz="0" w:space="0" w:color="auto"/>
                <w:bottom w:val="none" w:sz="0" w:space="0" w:color="auto"/>
                <w:right w:val="none" w:sz="0" w:space="0" w:color="auto"/>
              </w:divBdr>
              <w:divsChild>
                <w:div w:id="139271904">
                  <w:marLeft w:val="0"/>
                  <w:marRight w:val="0"/>
                  <w:marTop w:val="0"/>
                  <w:marBottom w:val="0"/>
                  <w:divBdr>
                    <w:top w:val="none" w:sz="0" w:space="0" w:color="auto"/>
                    <w:left w:val="none" w:sz="0" w:space="0" w:color="auto"/>
                    <w:bottom w:val="none" w:sz="0" w:space="0" w:color="auto"/>
                    <w:right w:val="none" w:sz="0" w:space="0" w:color="auto"/>
                  </w:divBdr>
                </w:div>
              </w:divsChild>
            </w:div>
            <w:div w:id="1696423608">
              <w:marLeft w:val="180"/>
              <w:marRight w:val="0"/>
              <w:marTop w:val="0"/>
              <w:marBottom w:val="0"/>
              <w:divBdr>
                <w:top w:val="none" w:sz="0" w:space="0" w:color="auto"/>
                <w:left w:val="none" w:sz="0" w:space="0" w:color="auto"/>
                <w:bottom w:val="none" w:sz="0" w:space="0" w:color="auto"/>
                <w:right w:val="none" w:sz="0" w:space="0" w:color="auto"/>
              </w:divBdr>
              <w:divsChild>
                <w:div w:id="7432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963232">
      <w:bodyDiv w:val="1"/>
      <w:marLeft w:val="0"/>
      <w:marRight w:val="0"/>
      <w:marTop w:val="0"/>
      <w:marBottom w:val="0"/>
      <w:divBdr>
        <w:top w:val="none" w:sz="0" w:space="0" w:color="auto"/>
        <w:left w:val="none" w:sz="0" w:space="0" w:color="auto"/>
        <w:bottom w:val="none" w:sz="0" w:space="0" w:color="auto"/>
        <w:right w:val="none" w:sz="0" w:space="0" w:color="auto"/>
      </w:divBdr>
      <w:divsChild>
        <w:div w:id="548764530">
          <w:marLeft w:val="0"/>
          <w:marRight w:val="0"/>
          <w:marTop w:val="150"/>
          <w:marBottom w:val="150"/>
          <w:divBdr>
            <w:top w:val="none" w:sz="0" w:space="0" w:color="auto"/>
            <w:left w:val="none" w:sz="0" w:space="0" w:color="auto"/>
            <w:bottom w:val="none" w:sz="0" w:space="0" w:color="auto"/>
            <w:right w:val="none" w:sz="0" w:space="0" w:color="auto"/>
          </w:divBdr>
          <w:divsChild>
            <w:div w:id="1767578563">
              <w:marLeft w:val="0"/>
              <w:marRight w:val="0"/>
              <w:marTop w:val="0"/>
              <w:marBottom w:val="0"/>
              <w:divBdr>
                <w:top w:val="none" w:sz="0" w:space="0" w:color="auto"/>
                <w:left w:val="none" w:sz="0" w:space="0" w:color="auto"/>
                <w:bottom w:val="none" w:sz="0" w:space="0" w:color="auto"/>
                <w:right w:val="none" w:sz="0" w:space="0" w:color="auto"/>
              </w:divBdr>
              <w:divsChild>
                <w:div w:id="945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30339">
          <w:marLeft w:val="0"/>
          <w:marRight w:val="0"/>
          <w:marTop w:val="0"/>
          <w:marBottom w:val="0"/>
          <w:divBdr>
            <w:top w:val="none" w:sz="0" w:space="0" w:color="auto"/>
            <w:left w:val="none" w:sz="0" w:space="0" w:color="auto"/>
            <w:bottom w:val="none" w:sz="0" w:space="0" w:color="auto"/>
            <w:right w:val="none" w:sz="0" w:space="0" w:color="auto"/>
          </w:divBdr>
          <w:divsChild>
            <w:div w:id="89169881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96202137">
      <w:bodyDiv w:val="1"/>
      <w:marLeft w:val="0"/>
      <w:marRight w:val="0"/>
      <w:marTop w:val="0"/>
      <w:marBottom w:val="0"/>
      <w:divBdr>
        <w:top w:val="none" w:sz="0" w:space="0" w:color="auto"/>
        <w:left w:val="none" w:sz="0" w:space="0" w:color="auto"/>
        <w:bottom w:val="none" w:sz="0" w:space="0" w:color="auto"/>
        <w:right w:val="none" w:sz="0" w:space="0" w:color="auto"/>
      </w:divBdr>
      <w:divsChild>
        <w:div w:id="372387098">
          <w:marLeft w:val="0"/>
          <w:marRight w:val="0"/>
          <w:marTop w:val="150"/>
          <w:marBottom w:val="150"/>
          <w:divBdr>
            <w:top w:val="none" w:sz="0" w:space="0" w:color="auto"/>
            <w:left w:val="none" w:sz="0" w:space="0" w:color="auto"/>
            <w:bottom w:val="none" w:sz="0" w:space="0" w:color="auto"/>
            <w:right w:val="none" w:sz="0" w:space="0" w:color="auto"/>
          </w:divBdr>
          <w:divsChild>
            <w:div w:id="1296570907">
              <w:marLeft w:val="0"/>
              <w:marRight w:val="0"/>
              <w:marTop w:val="0"/>
              <w:marBottom w:val="0"/>
              <w:divBdr>
                <w:top w:val="none" w:sz="0" w:space="0" w:color="auto"/>
                <w:left w:val="none" w:sz="0" w:space="0" w:color="auto"/>
                <w:bottom w:val="none" w:sz="0" w:space="0" w:color="auto"/>
                <w:right w:val="none" w:sz="0" w:space="0" w:color="auto"/>
              </w:divBdr>
              <w:divsChild>
                <w:div w:id="2412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3721">
          <w:marLeft w:val="0"/>
          <w:marRight w:val="0"/>
          <w:marTop w:val="0"/>
          <w:marBottom w:val="0"/>
          <w:divBdr>
            <w:top w:val="none" w:sz="0" w:space="0" w:color="auto"/>
            <w:left w:val="none" w:sz="0" w:space="0" w:color="auto"/>
            <w:bottom w:val="none" w:sz="0" w:space="0" w:color="auto"/>
            <w:right w:val="none" w:sz="0" w:space="0" w:color="auto"/>
          </w:divBdr>
          <w:divsChild>
            <w:div w:id="1264612947">
              <w:marLeft w:val="0"/>
              <w:marRight w:val="0"/>
              <w:marTop w:val="0"/>
              <w:marBottom w:val="0"/>
              <w:divBdr>
                <w:top w:val="none" w:sz="0" w:space="0" w:color="auto"/>
                <w:left w:val="none" w:sz="0" w:space="0" w:color="auto"/>
                <w:bottom w:val="none" w:sz="0" w:space="0" w:color="auto"/>
                <w:right w:val="none" w:sz="0" w:space="0" w:color="auto"/>
              </w:divBdr>
            </w:div>
            <w:div w:id="1847670640">
              <w:marLeft w:val="0"/>
              <w:marRight w:val="0"/>
              <w:marTop w:val="0"/>
              <w:marBottom w:val="0"/>
              <w:divBdr>
                <w:top w:val="none" w:sz="0" w:space="0" w:color="auto"/>
                <w:left w:val="none" w:sz="0" w:space="0" w:color="auto"/>
                <w:bottom w:val="none" w:sz="0" w:space="0" w:color="auto"/>
                <w:right w:val="none" w:sz="0" w:space="0" w:color="auto"/>
              </w:divBdr>
            </w:div>
            <w:div w:id="16861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7115">
      <w:bodyDiv w:val="1"/>
      <w:marLeft w:val="0"/>
      <w:marRight w:val="0"/>
      <w:marTop w:val="0"/>
      <w:marBottom w:val="0"/>
      <w:divBdr>
        <w:top w:val="none" w:sz="0" w:space="0" w:color="auto"/>
        <w:left w:val="none" w:sz="0" w:space="0" w:color="auto"/>
        <w:bottom w:val="none" w:sz="0" w:space="0" w:color="auto"/>
        <w:right w:val="none" w:sz="0" w:space="0" w:color="auto"/>
      </w:divBdr>
    </w:div>
    <w:div w:id="19112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achat-credit.financeimmo.com/rachat_de_credit.php" TargetMode="External"/><Relationship Id="rId13" Type="http://schemas.openxmlformats.org/officeDocument/2006/relationships/hyperlink" Target="http://www.financeimmo.com/Credit_Immobilier/Caution_Garantie/Les_Garanties.php" TargetMode="External"/><Relationship Id="rId18" Type="http://schemas.openxmlformats.org/officeDocument/2006/relationships/hyperlink" Target="http://www.financeimmo.com/Credit_Immobilier/Caution_Garantie/Les_Garanties.php" TargetMode="External"/><Relationship Id="rId26" Type="http://schemas.openxmlformats.org/officeDocument/2006/relationships/hyperlink" Target="http://www.financeimmo.com/Credit_Immobilier/Caution_Garantie/Les_Garanties.php" TargetMode="External"/><Relationship Id="rId3" Type="http://schemas.openxmlformats.org/officeDocument/2006/relationships/settings" Target="settings.xml"/><Relationship Id="rId21" Type="http://schemas.openxmlformats.org/officeDocument/2006/relationships/hyperlink" Target="http://www.financeimmo.com/Credit_Immobilier/Les_Frais_Annexes/Frais_de_Dossier.php" TargetMode="External"/><Relationship Id="rId7" Type="http://schemas.openxmlformats.org/officeDocument/2006/relationships/hyperlink" Target="http://rachat-credit.financeimmo.com/rachat_de_credit.php" TargetMode="External"/><Relationship Id="rId12" Type="http://schemas.openxmlformats.org/officeDocument/2006/relationships/hyperlink" Target="http://www.financeimmo.com/Credit_Immobilier/Les_Frais_Annexes/Frais_de_Dossier.php" TargetMode="External"/><Relationship Id="rId17" Type="http://schemas.openxmlformats.org/officeDocument/2006/relationships/hyperlink" Target="http://www.financeimmo.com/Credit_Immobilier/Caution_Garantie/Les_Garanties.php" TargetMode="External"/><Relationship Id="rId25" Type="http://schemas.openxmlformats.org/officeDocument/2006/relationships/hyperlink" Target="http://www.financeimmo.com/Credit_Immobilier/Les_Frais_Annexes/Frais_de_Dossier.php" TargetMode="External"/><Relationship Id="rId2" Type="http://schemas.openxmlformats.org/officeDocument/2006/relationships/styles" Target="styles.xml"/><Relationship Id="rId16" Type="http://schemas.openxmlformats.org/officeDocument/2006/relationships/hyperlink" Target="http://www.financeimmo.com/Credit_Immobilier/Caution_Garantie/Les_Garanties.php" TargetMode="External"/><Relationship Id="rId20" Type="http://schemas.openxmlformats.org/officeDocument/2006/relationships/hyperlink" Target="http://www.financeimmo.com/Credit_Immobilier/Les_Frais_Annexes/Indemnites_de_Remboursement_Anticipe.php" TargetMode="External"/><Relationship Id="rId29" Type="http://schemas.openxmlformats.org/officeDocument/2006/relationships/hyperlink" Target="http://www.financeimmo.com/Credit_Immobilier/Caution_Garantie/Les_Garanties.php" TargetMode="External"/><Relationship Id="rId1" Type="http://schemas.openxmlformats.org/officeDocument/2006/relationships/numbering" Target="numbering.xml"/><Relationship Id="rId6" Type="http://schemas.openxmlformats.org/officeDocument/2006/relationships/hyperlink" Target="http://rachat-credit.financeimmo.com/rachat_de_credit.php" TargetMode="External"/><Relationship Id="rId11" Type="http://schemas.openxmlformats.org/officeDocument/2006/relationships/hyperlink" Target="http://www.financeimmo.com/Credit_Immobilier/Les_Frais_Annexes/Indemnites_de_Remboursement_Anticipe.php" TargetMode="External"/><Relationship Id="rId24" Type="http://schemas.openxmlformats.org/officeDocument/2006/relationships/hyperlink" Target="http://www.financeimmo.com/Credit_Immobilier/Les_Frais_Annexes/Indemnites_de_Remboursement_Anticipe.php" TargetMode="External"/><Relationship Id="rId5" Type="http://schemas.openxmlformats.org/officeDocument/2006/relationships/hyperlink" Target="http://www.empruntis.com/rachat-de-credit/refinancement.php" TargetMode="External"/><Relationship Id="rId15" Type="http://schemas.openxmlformats.org/officeDocument/2006/relationships/hyperlink" Target="http://www.financeimmo.com/Credit_Immobilier/Les_Frais_Annexes/Indemnites_de_Remboursement_Anticipe.php" TargetMode="External"/><Relationship Id="rId23" Type="http://schemas.openxmlformats.org/officeDocument/2006/relationships/hyperlink" Target="http://www.financeimmo.com/Credit_Immobilier/Les_Frais_Annexes/Frais_de_Dossier.php" TargetMode="External"/><Relationship Id="rId28" Type="http://schemas.openxmlformats.org/officeDocument/2006/relationships/hyperlink" Target="http://www.financeimmo.com/Credit_Immobilier/Les_Frais_Annexes/Frais_de_Dossier.php" TargetMode="External"/><Relationship Id="rId10" Type="http://schemas.openxmlformats.org/officeDocument/2006/relationships/hyperlink" Target="http://rachat-credit.financeimmo.com/rachat_de_credit.php" TargetMode="External"/><Relationship Id="rId19" Type="http://schemas.openxmlformats.org/officeDocument/2006/relationships/hyperlink" Target="http://www.financeimmo.com/Credit_Immobilier/Caution_Garantie/Les_Garanties.ph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achat-credit.financeimmo.com/rachat_de_credit.php" TargetMode="External"/><Relationship Id="rId14" Type="http://schemas.openxmlformats.org/officeDocument/2006/relationships/hyperlink" Target="http://www.financeimmo.com/Credit_Immobilier/Les_Frais_Annexes/Indemnites_de_Remboursement_Anticipe.php" TargetMode="External"/><Relationship Id="rId22" Type="http://schemas.openxmlformats.org/officeDocument/2006/relationships/hyperlink" Target="http://www.financeimmo.com/Credit_Immobilier/Les_Frais_Annexes/Indemnites_de_Remboursement_Anticipe.php" TargetMode="External"/><Relationship Id="rId27" Type="http://schemas.openxmlformats.org/officeDocument/2006/relationships/hyperlink" Target="http://www.financeimmo.com/Credit_Immobilier/Les_Frais_Annexes/Indemnites_de_Remboursement_Anticipe.php"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1157</Words>
  <Characters>6368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cp:revision>
  <dcterms:created xsi:type="dcterms:W3CDTF">2012-06-20T09:26:00Z</dcterms:created>
  <dcterms:modified xsi:type="dcterms:W3CDTF">2012-06-20T10:04:00Z</dcterms:modified>
</cp:coreProperties>
</file>