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ImpactMT" w:hAnsi="ImpactMT" w:cs="ImpactMT"/>
          <w:sz w:val="44"/>
          <w:szCs w:val="44"/>
        </w:rPr>
      </w:pPr>
      <w:r>
        <w:rPr>
          <w:rFonts w:ascii="ImpactMT" w:hAnsi="ImpactMT" w:cs="ImpactMT"/>
          <w:sz w:val="44"/>
          <w:szCs w:val="44"/>
        </w:rPr>
        <w:t>Sortie en capital d’un PERP :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ImpactMT" w:hAnsi="ImpactMT" w:cs="ImpactMT"/>
          <w:sz w:val="44"/>
          <w:szCs w:val="44"/>
        </w:rPr>
      </w:pPr>
      <w:r>
        <w:rPr>
          <w:rFonts w:ascii="ImpactMT" w:hAnsi="ImpactMT" w:cs="ImpactMT"/>
          <w:sz w:val="44"/>
          <w:szCs w:val="44"/>
        </w:rPr>
        <w:t>quel régime fiscal ?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BoldCondensed" w:hAnsi="CheltenhamEF-BoldCondensed" w:cs="CheltenhamEF-BoldCondensed"/>
          <w:b/>
          <w:bCs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>Quel est le régime au regard de l’IR et des prélèvements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BoldCondensed" w:hAnsi="CheltenhamEF-BoldCondensed" w:cs="CheltenhamEF-BoldCondensed"/>
          <w:b/>
          <w:bCs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>sociaux du dénouement d’un PERP sous forme d’un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BoldCondensed" w:hAnsi="CheltenhamEF-BoldCondensed" w:cs="CheltenhamEF-BoldCondensed"/>
          <w:b/>
          <w:bCs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>versement forfaitaire unique en lieu et place d’une rente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 xml:space="preserve">viagère de faible montant ? </w:t>
      </w:r>
      <w:r>
        <w:rPr>
          <w:rFonts w:ascii="CheltenhamEF-LightCondensed" w:hAnsi="CheltenhamEF-LightCondensed" w:cs="CheltenhamEF-LightCondensed"/>
          <w:sz w:val="20"/>
          <w:szCs w:val="20"/>
        </w:rPr>
        <w:t>C’est la question posée à l’administration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fiscale et qui a fait l’objet d’un rescrit fiscal.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L’administration fiscale a d’abord rappelé qu’un PERP se dénoue en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principe sous la forme d’une rente viagère, à l’exception, notamment, du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cas où les rentes à verser, étant d’un montant trop faible, sont liquidées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BoldCondensed" w:hAnsi="CheltenhamEF-BoldCondensed" w:cs="CheltenhamEF-BoldCondensed"/>
          <w:b/>
          <w:bCs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 xml:space="preserve">sous la forme d’un versement unique. </w:t>
      </w: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>Cependant, ce versement ne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BoldCondensed" w:hAnsi="CheltenhamEF-BoldCondensed" w:cs="CheltenhamEF-BoldCondensed"/>
          <w:b/>
          <w:bCs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>modifie pas la nature de rente des sommes versées.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ImpactMT" w:hAnsi="ImpactMT" w:cs="ImpactMT"/>
          <w:sz w:val="24"/>
          <w:szCs w:val="24"/>
        </w:rPr>
      </w:pPr>
      <w:r>
        <w:rPr>
          <w:rFonts w:ascii="ImpactMT" w:hAnsi="ImpactMT" w:cs="ImpactMT"/>
          <w:sz w:val="24"/>
          <w:szCs w:val="24"/>
        </w:rPr>
        <w:t>Imposition au titre des pensions et retraites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Ainsi, les droits acquis au titre d’un PERP, liquidés sous forme d’un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versement unique, sont-ils imposables pour leur montant total selon les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règles de droit commun des pensions et retraites, au titre de l’année de la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perception des sommes.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ImpactMT" w:hAnsi="ImpactMT" w:cs="ImpactMT"/>
          <w:sz w:val="24"/>
          <w:szCs w:val="24"/>
        </w:rPr>
      </w:pPr>
      <w:r>
        <w:rPr>
          <w:rFonts w:ascii="ImpactMT" w:hAnsi="ImpactMT" w:cs="ImpactMT"/>
          <w:sz w:val="24"/>
          <w:szCs w:val="24"/>
        </w:rPr>
        <w:t>Mécanisme du quotient applicable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Le système de quotient, applicable aux revenus exceptionnels, a vocation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à s’appliquer aux pensions de retraite de faible montant perçues sous la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forme d’un versement forfaitaire unique dans le cadre d’un PERP et ce, à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titre dérogatoire, quel que soit leur montant.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ImpactMT" w:hAnsi="ImpactMT" w:cs="ImpactMT"/>
          <w:sz w:val="24"/>
          <w:szCs w:val="24"/>
        </w:rPr>
      </w:pPr>
      <w:r>
        <w:rPr>
          <w:rFonts w:ascii="ImpactMT" w:hAnsi="ImpactMT" w:cs="ImpactMT"/>
          <w:sz w:val="24"/>
          <w:szCs w:val="24"/>
        </w:rPr>
        <w:t>Prélèvements sociaux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L’ensemble des rentes viagères ou temporaires servies au dénouement du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PERP est assujetti aux prélèvements sociaux dans les conditions et aux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taux applicables aux revenus de remplacement. Le versement exceptionnel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des rentes sous forme de capital ne déroge pas à cette règle. Le capital est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donc soumis :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 xml:space="preserve">• </w:t>
      </w:r>
      <w:r>
        <w:rPr>
          <w:rFonts w:ascii="CheltenhamEF-LightCondensed" w:hAnsi="CheltenhamEF-LightCondensed" w:cs="CheltenhamEF-LightCondensed"/>
          <w:sz w:val="20"/>
          <w:szCs w:val="20"/>
        </w:rPr>
        <w:t>à la CSG au taux de 6,6 % depuis le 01.01.2005 (au lieu de 7,5 %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applicable aux revenus d’activité),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BoldCondensed" w:hAnsi="CheltenhamEF-BoldCondensed" w:cs="CheltenhamEF-BoldCondensed"/>
          <w:b/>
          <w:bCs/>
          <w:sz w:val="20"/>
          <w:szCs w:val="20"/>
        </w:rPr>
        <w:t xml:space="preserve">• </w:t>
      </w:r>
      <w:r>
        <w:rPr>
          <w:rFonts w:ascii="CheltenhamEF-LightCondensed" w:hAnsi="CheltenhamEF-LightCondensed" w:cs="CheltenhamEF-LightCondensed"/>
          <w:sz w:val="20"/>
          <w:szCs w:val="20"/>
        </w:rPr>
        <w:t>et à la CRDS au taux de 0,5 %.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20"/>
          <w:szCs w:val="2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Il est exonéré pour les retraités disposant de faibles ressources selon les</w:t>
      </w:r>
    </w:p>
    <w:p w:rsidR="005D2E6B" w:rsidRDefault="005D2E6B" w:rsidP="005D2E6B">
      <w:pPr>
        <w:autoSpaceDE w:val="0"/>
        <w:autoSpaceDN w:val="0"/>
        <w:adjustRightInd w:val="0"/>
        <w:spacing w:after="0" w:line="240" w:lineRule="auto"/>
        <w:rPr>
          <w:rFonts w:ascii="CheltenhamEF-LightCondensed" w:hAnsi="CheltenhamEF-LightCondensed" w:cs="CheltenhamEF-LightCondensed"/>
          <w:sz w:val="40"/>
          <w:szCs w:val="40"/>
        </w:rPr>
      </w:pPr>
      <w:r>
        <w:rPr>
          <w:rFonts w:ascii="CheltenhamEF-LightCondensed" w:hAnsi="CheltenhamEF-LightCondensed" w:cs="CheltenhamEF-LightCondensed"/>
          <w:sz w:val="20"/>
          <w:szCs w:val="20"/>
        </w:rPr>
        <w:t>conditions de droit commun.</w:t>
      </w:r>
      <w:r>
        <w:rPr>
          <w:rFonts w:ascii="CheltenhamEF-LightCondensed" w:hAnsi="CheltenhamEF-LightCondensed" w:cs="CheltenhamEF-LightCondensed"/>
          <w:sz w:val="40"/>
          <w:szCs w:val="40"/>
        </w:rPr>
        <w:t>•</w:t>
      </w:r>
    </w:p>
    <w:p w:rsidR="00C32BBC" w:rsidRDefault="005D2E6B" w:rsidP="005D2E6B">
      <w:r>
        <w:rPr>
          <w:rFonts w:ascii="ImpactMT" w:hAnsi="ImpactMT" w:cs="ImpactMT"/>
          <w:sz w:val="16"/>
          <w:szCs w:val="16"/>
        </w:rPr>
        <w:t>Source : RES n° 2010/45 (FP) du 20.07.2010.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eltenhamEF-Bold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heltenhamEF-LightCondense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D2E6B"/>
    <w:rsid w:val="005D2E6B"/>
    <w:rsid w:val="00C32BBC"/>
    <w:rsid w:val="00D95664"/>
    <w:rsid w:val="00DE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2010-10-23T10:29:00Z</dcterms:created>
  <dcterms:modified xsi:type="dcterms:W3CDTF">2010-10-23T10:30:00Z</dcterms:modified>
</cp:coreProperties>
</file>