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68B2"/>
          <w:sz w:val="21"/>
          <w:szCs w:val="21"/>
        </w:rPr>
      </w:pPr>
      <w:r>
        <w:rPr>
          <w:rFonts w:ascii="Verdana" w:hAnsi="Verdana" w:cs="Verdana"/>
          <w:b/>
          <w:bCs/>
          <w:color w:val="0068B2"/>
          <w:sz w:val="21"/>
          <w:szCs w:val="21"/>
        </w:rPr>
        <w:t xml:space="preserve">Saint Honoré PLATINIUM - Assurances </w:t>
      </w:r>
      <w:proofErr w:type="spellStart"/>
      <w:r>
        <w:rPr>
          <w:rFonts w:ascii="Verdana" w:hAnsi="Verdana" w:cs="Verdana"/>
          <w:b/>
          <w:bCs/>
          <w:color w:val="0068B2"/>
          <w:sz w:val="21"/>
          <w:szCs w:val="21"/>
        </w:rPr>
        <w:t>Saint-Honoré</w:t>
      </w:r>
      <w:proofErr w:type="spellEnd"/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Contrat multi supports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Possibilité de référencement de Fonds (nous contacter).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Disponibilité de Fonds externes, internes, collectifs et dédiés.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Fonds Général : Fonds Général en Euros et en USD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Souscription minimum : 10.000 €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Minimum par support : 2 500 €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Minimum versement complémentaire : 2 500 €</w:t>
      </w:r>
    </w:p>
    <w:p w:rsidR="005142F7" w:rsidRDefault="00F07972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Frais d'entrée : 5%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Frais de gestion : 1%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Frais d'arbitrage : 150 €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856829"/>
          <w:sz w:val="16"/>
          <w:szCs w:val="16"/>
        </w:rPr>
      </w:pPr>
      <w:r>
        <w:rPr>
          <w:rFonts w:ascii="Verdana" w:hAnsi="Verdana" w:cs="Verdana"/>
          <w:b/>
          <w:bCs/>
          <w:color w:val="856829"/>
          <w:sz w:val="16"/>
          <w:szCs w:val="16"/>
        </w:rPr>
        <w:t>Options :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5"/>
          <w:szCs w:val="15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Garanties en cas de décès :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seul garanties plancher et plancher doublée sont possibles avec l'option de gestion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sécurisé.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- Garantie plancher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- Garantie plancher indexée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- Garantie plancher cliquet</w:t>
      </w:r>
    </w:p>
    <w:p w:rsidR="005142F7" w:rsidRDefault="005142F7" w:rsidP="005142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- Garantie plancher doublée</w:t>
      </w:r>
    </w:p>
    <w:p w:rsidR="00C32BBC" w:rsidRDefault="005142F7" w:rsidP="005142F7">
      <w:r>
        <w:rPr>
          <w:rFonts w:ascii="Verdana" w:hAnsi="Verdana" w:cs="Verdana"/>
          <w:b/>
          <w:bCs/>
          <w:color w:val="856829"/>
          <w:sz w:val="16"/>
          <w:szCs w:val="16"/>
        </w:rPr>
        <w:t>Rappel :</w:t>
      </w:r>
      <w:r>
        <w:rPr>
          <w:rFonts w:ascii="Verdana" w:hAnsi="Verdana" w:cs="Verdana"/>
          <w:color w:val="000000"/>
          <w:sz w:val="15"/>
          <w:szCs w:val="15"/>
        </w:rPr>
        <w:t>- La pièce d'identité doit être en cours de validité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42F7"/>
    <w:rsid w:val="000719F2"/>
    <w:rsid w:val="005142F7"/>
    <w:rsid w:val="005B54D4"/>
    <w:rsid w:val="00C32BBC"/>
    <w:rsid w:val="00D95664"/>
    <w:rsid w:val="00F0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2010-11-27T10:09:00Z</dcterms:created>
  <dcterms:modified xsi:type="dcterms:W3CDTF">2010-11-27T10:28:00Z</dcterms:modified>
</cp:coreProperties>
</file>