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45" w:rsidRPr="00AA77EF" w:rsidRDefault="00FF4545" w:rsidP="00FF4545">
      <w:pPr>
        <w:autoSpaceDE w:val="0"/>
        <w:autoSpaceDN w:val="0"/>
        <w:adjustRightInd w:val="0"/>
        <w:spacing w:after="0" w:line="240" w:lineRule="auto"/>
        <w:jc w:val="both"/>
        <w:rPr>
          <w:rFonts w:ascii="ImpactMT" w:hAnsi="ImpactMT" w:cs="ImpactMT"/>
          <w:b/>
          <w:sz w:val="20"/>
          <w:szCs w:val="20"/>
        </w:rPr>
      </w:pPr>
      <w:r w:rsidRPr="00AA77EF">
        <w:rPr>
          <w:rFonts w:ascii="ImpactMT" w:hAnsi="ImpactMT" w:cs="ImpactMT"/>
          <w:b/>
          <w:sz w:val="20"/>
          <w:szCs w:val="20"/>
        </w:rPr>
        <w:t>Barème prévisionnel de l’IR 2011</w:t>
      </w:r>
    </w:p>
    <w:p w:rsidR="00FF4545" w:rsidRPr="00AA77EF"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sidRPr="00AA77EF">
        <w:rPr>
          <w:rFonts w:ascii="CheltenhamEF-LightCondensed" w:hAnsi="CheltenhamEF-LightCondensed" w:cs="CheltenhamEF-LightCondensed"/>
          <w:sz w:val="20"/>
          <w:szCs w:val="20"/>
        </w:rPr>
        <w:t>Les tranches de revenus imposables du nouveau</w:t>
      </w:r>
      <w:r w:rsidR="00AA77EF">
        <w:rPr>
          <w:rFonts w:ascii="CheltenhamEF-LightCondensed" w:hAnsi="CheltenhamEF-LightCondensed" w:cs="CheltenhamEF-LightCondensed"/>
          <w:sz w:val="20"/>
          <w:szCs w:val="20"/>
        </w:rPr>
        <w:t xml:space="preserve"> </w:t>
      </w:r>
      <w:r w:rsidRPr="00AA77EF">
        <w:rPr>
          <w:rFonts w:ascii="CheltenhamEF-LightCondensed" w:hAnsi="CheltenhamEF-LightCondensed" w:cs="CheltenhamEF-LightCondensed"/>
          <w:sz w:val="20"/>
          <w:szCs w:val="20"/>
        </w:rPr>
        <w:t xml:space="preserve">barème de l’IR </w:t>
      </w:r>
      <w:r w:rsidRPr="00AA77EF">
        <w:rPr>
          <w:rFonts w:ascii="CheltenhamEF-BoldCondensed" w:hAnsi="CheltenhamEF-BoldCondensed" w:cs="CheltenhamEF-BoldCondensed"/>
          <w:b/>
          <w:bCs/>
          <w:sz w:val="20"/>
          <w:szCs w:val="20"/>
        </w:rPr>
        <w:t>seraient revalorisées de</w:t>
      </w:r>
    </w:p>
    <w:p w:rsidR="00FF4545" w:rsidRPr="00AA77EF"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sidRPr="00AA77EF">
        <w:rPr>
          <w:rFonts w:ascii="CheltenhamEF-BoldCondensed" w:hAnsi="CheltenhamEF-BoldCondensed" w:cs="CheltenhamEF-BoldCondensed"/>
          <w:b/>
          <w:bCs/>
          <w:sz w:val="20"/>
          <w:szCs w:val="20"/>
        </w:rPr>
        <w:t>1,5 %</w:t>
      </w:r>
      <w:r w:rsidRPr="00AA77EF">
        <w:rPr>
          <w:rFonts w:ascii="CheltenhamEF-LightCondensed" w:hAnsi="CheltenhamEF-LightCondensed" w:cs="CheltenhamEF-LightCondensed"/>
          <w:sz w:val="20"/>
          <w:szCs w:val="20"/>
        </w:rPr>
        <w:t xml:space="preserve">. </w:t>
      </w:r>
      <w:r w:rsidRPr="00AA77EF">
        <w:rPr>
          <w:rFonts w:ascii="CheltenhamEF-BoldCondensed" w:hAnsi="CheltenhamEF-BoldCondensed" w:cs="CheltenhamEF-BoldCondensed"/>
          <w:b/>
          <w:bCs/>
          <w:sz w:val="20"/>
          <w:szCs w:val="20"/>
        </w:rPr>
        <w:t>Le barème 2011 applicable aux</w:t>
      </w:r>
      <w:r w:rsidR="00AA77EF">
        <w:rPr>
          <w:rFonts w:ascii="CheltenhamEF-BoldCondensed" w:hAnsi="CheltenhamEF-BoldCondensed" w:cs="CheltenhamEF-BoldCondensed"/>
          <w:b/>
          <w:bCs/>
          <w:sz w:val="20"/>
          <w:szCs w:val="20"/>
        </w:rPr>
        <w:t xml:space="preserve"> </w:t>
      </w:r>
      <w:r w:rsidRPr="00AA77EF">
        <w:rPr>
          <w:rFonts w:ascii="CheltenhamEF-BoldCondensed" w:hAnsi="CheltenhamEF-BoldCondensed" w:cs="CheltenhamEF-BoldCondensed"/>
          <w:b/>
          <w:bCs/>
          <w:sz w:val="20"/>
          <w:szCs w:val="20"/>
        </w:rPr>
        <w:t xml:space="preserve">revenus de 2010 </w:t>
      </w:r>
      <w:r w:rsidRPr="00AA77EF">
        <w:rPr>
          <w:rFonts w:ascii="CheltenhamEF-LightCondensed" w:hAnsi="CheltenhamEF-LightCondensed" w:cs="CheltenhamEF-LightCondensed"/>
          <w:sz w:val="20"/>
          <w:szCs w:val="20"/>
        </w:rPr>
        <w:t>s’établirait donc comme</w:t>
      </w:r>
    </w:p>
    <w:p w:rsidR="00FF4545" w:rsidRPr="00AA77EF"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sidRPr="00AA77EF">
        <w:rPr>
          <w:rFonts w:ascii="CheltenhamEF-LightCondensed" w:hAnsi="CheltenhamEF-LightCondensed" w:cs="CheltenhamEF-LightCondensed"/>
          <w:sz w:val="20"/>
          <w:szCs w:val="20"/>
        </w:rPr>
        <w:t>suit :</w:t>
      </w:r>
    </w:p>
    <w:p w:rsidR="00FF4545" w:rsidRPr="00AA77EF" w:rsidRDefault="00FF4545" w:rsidP="00FF4545">
      <w:pPr>
        <w:autoSpaceDE w:val="0"/>
        <w:autoSpaceDN w:val="0"/>
        <w:adjustRightInd w:val="0"/>
        <w:spacing w:after="0" w:line="240" w:lineRule="auto"/>
        <w:jc w:val="both"/>
        <w:rPr>
          <w:rFonts w:ascii="ImpactMT" w:hAnsi="ImpactMT" w:cs="ImpactMT"/>
          <w:sz w:val="20"/>
          <w:szCs w:val="20"/>
        </w:rPr>
      </w:pPr>
      <w:r w:rsidRPr="00AA77EF">
        <w:rPr>
          <w:rFonts w:ascii="ImpactMT" w:hAnsi="ImpactMT" w:cs="ImpactMT"/>
          <w:sz w:val="20"/>
          <w:szCs w:val="20"/>
        </w:rPr>
        <w:t>Barème prévisionnel de l’IR 2011,</w:t>
      </w:r>
      <w:r w:rsidR="00AA77EF">
        <w:rPr>
          <w:rFonts w:ascii="ImpactMT" w:hAnsi="ImpactMT" w:cs="ImpactMT"/>
          <w:sz w:val="20"/>
          <w:szCs w:val="20"/>
        </w:rPr>
        <w:t xml:space="preserve"> </w:t>
      </w:r>
      <w:r w:rsidRPr="00AA77EF">
        <w:rPr>
          <w:rFonts w:ascii="ImpactMT" w:hAnsi="ImpactMT" w:cs="ImpactMT"/>
          <w:sz w:val="20"/>
          <w:szCs w:val="20"/>
        </w:rPr>
        <w:t>pour l’imposition des revenus de 2010</w:t>
      </w:r>
    </w:p>
    <w:p w:rsidR="00FF4545" w:rsidRPr="00AA77EF" w:rsidRDefault="00FF4545" w:rsidP="00FF4545">
      <w:pPr>
        <w:autoSpaceDE w:val="0"/>
        <w:autoSpaceDN w:val="0"/>
        <w:adjustRightInd w:val="0"/>
        <w:spacing w:after="0" w:line="240" w:lineRule="auto"/>
        <w:jc w:val="both"/>
        <w:rPr>
          <w:rFonts w:ascii="Gothic725BT-BlackA" w:hAnsi="Gothic725BT-BlackA" w:cs="Gothic725BT-BlackA"/>
          <w:sz w:val="20"/>
          <w:szCs w:val="20"/>
        </w:rPr>
      </w:pPr>
      <w:r w:rsidRPr="00AA77EF">
        <w:rPr>
          <w:rFonts w:ascii="Gothic725BT-BlackA" w:hAnsi="Gothic725BT-BlackA" w:cs="Gothic725BT-BlackA"/>
          <w:sz w:val="20"/>
          <w:szCs w:val="20"/>
        </w:rPr>
        <w:t>Tranches de revenus</w:t>
      </w:r>
      <w:r w:rsidR="00AA77EF">
        <w:rPr>
          <w:rFonts w:ascii="Gothic725BT-BlackA" w:hAnsi="Gothic725BT-BlackA" w:cs="Gothic725BT-BlackA"/>
          <w:sz w:val="20"/>
          <w:szCs w:val="20"/>
        </w:rPr>
        <w:tab/>
      </w:r>
      <w:r w:rsidR="00AA77EF">
        <w:rPr>
          <w:rFonts w:ascii="Gothic725BT-BlackA" w:hAnsi="Gothic725BT-BlackA" w:cs="Gothic725BT-BlackA"/>
          <w:sz w:val="20"/>
          <w:szCs w:val="20"/>
        </w:rPr>
        <w:tab/>
      </w:r>
      <w:r w:rsidR="00AA77EF">
        <w:rPr>
          <w:rFonts w:ascii="Gothic725BT-BlackA" w:hAnsi="Gothic725BT-BlackA" w:cs="Gothic725BT-BlackA"/>
          <w:sz w:val="20"/>
          <w:szCs w:val="20"/>
        </w:rPr>
        <w:tab/>
      </w:r>
      <w:r w:rsidR="00AA77EF" w:rsidRPr="00AA77EF">
        <w:rPr>
          <w:rFonts w:ascii="Gothic725BT-BlackA" w:hAnsi="Gothic725BT-BlackA" w:cs="Gothic725BT-BlackA"/>
          <w:sz w:val="20"/>
          <w:szCs w:val="20"/>
        </w:rPr>
        <w:t>Taux</w:t>
      </w:r>
    </w:p>
    <w:p w:rsidR="00FF4545" w:rsidRPr="00AA77EF" w:rsidRDefault="00FF4545" w:rsidP="00FF4545">
      <w:pPr>
        <w:autoSpaceDE w:val="0"/>
        <w:autoSpaceDN w:val="0"/>
        <w:adjustRightInd w:val="0"/>
        <w:spacing w:after="0" w:line="240" w:lineRule="auto"/>
        <w:jc w:val="both"/>
        <w:rPr>
          <w:rFonts w:ascii="Gothic725BT-BoldA" w:hAnsi="Gothic725BT-BoldA" w:cs="Gothic725BT-BoldA"/>
          <w:b/>
          <w:bCs/>
          <w:sz w:val="20"/>
          <w:szCs w:val="20"/>
        </w:rPr>
      </w:pPr>
      <w:r w:rsidRPr="00AA77EF">
        <w:rPr>
          <w:rFonts w:ascii="Gothic725BT-BoldA" w:hAnsi="Gothic725BT-BoldA" w:cs="Gothic725BT-BoldA"/>
          <w:b/>
          <w:bCs/>
          <w:sz w:val="20"/>
          <w:szCs w:val="20"/>
        </w:rPr>
        <w:t xml:space="preserve">Jusqu’à 5 963 </w:t>
      </w:r>
      <w:r w:rsidRPr="00AA77EF">
        <w:rPr>
          <w:rFonts w:ascii="LinotypeEuroFontAtoF" w:hAnsi="LinotypeEuroFontAtoF" w:cs="LinotypeEuroFontAtoF"/>
          <w:sz w:val="20"/>
          <w:szCs w:val="20"/>
        </w:rPr>
        <w:t>a</w:t>
      </w:r>
      <w:r w:rsidR="00AA77EF">
        <w:rPr>
          <w:rFonts w:ascii="LinotypeEuroFontAtoF" w:hAnsi="LinotypeEuroFontAtoF" w:cs="LinotypeEuroFontAtoF"/>
          <w:sz w:val="20"/>
          <w:szCs w:val="20"/>
        </w:rPr>
        <w:tab/>
      </w:r>
      <w:r w:rsidR="00AA77EF">
        <w:rPr>
          <w:rFonts w:ascii="LinotypeEuroFontAtoF" w:hAnsi="LinotypeEuroFontAtoF" w:cs="LinotypeEuroFontAtoF"/>
          <w:sz w:val="20"/>
          <w:szCs w:val="20"/>
        </w:rPr>
        <w:tab/>
      </w:r>
      <w:r w:rsidR="00AA77EF">
        <w:rPr>
          <w:rFonts w:ascii="LinotypeEuroFontAtoF" w:hAnsi="LinotypeEuroFontAtoF" w:cs="LinotypeEuroFontAtoF"/>
          <w:sz w:val="20"/>
          <w:szCs w:val="20"/>
        </w:rPr>
        <w:tab/>
      </w:r>
      <w:r w:rsidR="00AA77EF" w:rsidRPr="00AA77EF">
        <w:rPr>
          <w:rFonts w:ascii="Gothic725BT-BoldA" w:hAnsi="Gothic725BT-BoldA" w:cs="Gothic725BT-BoldA"/>
          <w:b/>
          <w:bCs/>
          <w:sz w:val="20"/>
          <w:szCs w:val="20"/>
        </w:rPr>
        <w:t>0 %</w:t>
      </w:r>
    </w:p>
    <w:p w:rsidR="00FF4545" w:rsidRPr="00AA77EF" w:rsidRDefault="00FF4545" w:rsidP="00FF4545">
      <w:pPr>
        <w:autoSpaceDE w:val="0"/>
        <w:autoSpaceDN w:val="0"/>
        <w:adjustRightInd w:val="0"/>
        <w:spacing w:after="0" w:line="240" w:lineRule="auto"/>
        <w:jc w:val="both"/>
        <w:rPr>
          <w:rFonts w:ascii="Gothic725BT-BoldA" w:hAnsi="Gothic725BT-BoldA" w:cs="Gothic725BT-BoldA"/>
          <w:b/>
          <w:bCs/>
          <w:sz w:val="20"/>
          <w:szCs w:val="20"/>
        </w:rPr>
      </w:pPr>
      <w:r w:rsidRPr="00AA77EF">
        <w:rPr>
          <w:rFonts w:ascii="Gothic725BT-BoldA" w:hAnsi="Gothic725BT-BoldA" w:cs="Gothic725BT-BoldA"/>
          <w:b/>
          <w:bCs/>
          <w:sz w:val="20"/>
          <w:szCs w:val="20"/>
        </w:rPr>
        <w:t xml:space="preserve">Entre 5 964 et 11 896 </w:t>
      </w:r>
      <w:r w:rsidRPr="00AA77EF">
        <w:rPr>
          <w:rFonts w:ascii="LinotypeEuroFontAtoF" w:hAnsi="LinotypeEuroFontAtoF" w:cs="LinotypeEuroFontAtoF"/>
          <w:sz w:val="20"/>
          <w:szCs w:val="20"/>
        </w:rPr>
        <w:t>a</w:t>
      </w:r>
      <w:r w:rsidR="00AA77EF">
        <w:rPr>
          <w:rFonts w:ascii="LinotypeEuroFontAtoF" w:hAnsi="LinotypeEuroFontAtoF" w:cs="LinotypeEuroFontAtoF"/>
          <w:sz w:val="20"/>
          <w:szCs w:val="20"/>
        </w:rPr>
        <w:tab/>
      </w:r>
      <w:r w:rsidR="00AA77EF">
        <w:rPr>
          <w:rFonts w:ascii="LinotypeEuroFontAtoF" w:hAnsi="LinotypeEuroFontAtoF" w:cs="LinotypeEuroFontAtoF"/>
          <w:sz w:val="20"/>
          <w:szCs w:val="20"/>
        </w:rPr>
        <w:tab/>
      </w:r>
      <w:r w:rsidR="00AA77EF" w:rsidRPr="00AA77EF">
        <w:rPr>
          <w:rFonts w:ascii="Gothic725BT-BoldA" w:hAnsi="Gothic725BT-BoldA" w:cs="Gothic725BT-BoldA"/>
          <w:b/>
          <w:bCs/>
          <w:sz w:val="20"/>
          <w:szCs w:val="20"/>
        </w:rPr>
        <w:t>5,5 %</w:t>
      </w:r>
    </w:p>
    <w:p w:rsidR="00FF4545" w:rsidRPr="00AA77EF" w:rsidRDefault="00FF4545" w:rsidP="00FF4545">
      <w:pPr>
        <w:autoSpaceDE w:val="0"/>
        <w:autoSpaceDN w:val="0"/>
        <w:adjustRightInd w:val="0"/>
        <w:spacing w:after="0" w:line="240" w:lineRule="auto"/>
        <w:jc w:val="both"/>
        <w:rPr>
          <w:rFonts w:ascii="Gothic725BT-BoldA" w:hAnsi="Gothic725BT-BoldA" w:cs="Gothic725BT-BoldA"/>
          <w:b/>
          <w:bCs/>
          <w:sz w:val="20"/>
          <w:szCs w:val="20"/>
        </w:rPr>
      </w:pPr>
      <w:r w:rsidRPr="00AA77EF">
        <w:rPr>
          <w:rFonts w:ascii="Gothic725BT-BoldA" w:hAnsi="Gothic725BT-BoldA" w:cs="Gothic725BT-BoldA"/>
          <w:b/>
          <w:bCs/>
          <w:sz w:val="20"/>
          <w:szCs w:val="20"/>
        </w:rPr>
        <w:t xml:space="preserve">Entre 11 897 et 26 420 </w:t>
      </w:r>
      <w:r w:rsidRPr="00AA77EF">
        <w:rPr>
          <w:rFonts w:ascii="LinotypeEuroFontAtoF" w:hAnsi="LinotypeEuroFontAtoF" w:cs="LinotypeEuroFontAtoF"/>
          <w:sz w:val="20"/>
          <w:szCs w:val="20"/>
        </w:rPr>
        <w:t>a</w:t>
      </w:r>
      <w:r w:rsidR="00AA77EF">
        <w:rPr>
          <w:rFonts w:ascii="LinotypeEuroFontAtoF" w:hAnsi="LinotypeEuroFontAtoF" w:cs="LinotypeEuroFontAtoF"/>
          <w:sz w:val="20"/>
          <w:szCs w:val="20"/>
        </w:rPr>
        <w:tab/>
      </w:r>
      <w:r w:rsidR="00AA77EF">
        <w:rPr>
          <w:rFonts w:ascii="LinotypeEuroFontAtoF" w:hAnsi="LinotypeEuroFontAtoF" w:cs="LinotypeEuroFontAtoF"/>
          <w:sz w:val="20"/>
          <w:szCs w:val="20"/>
        </w:rPr>
        <w:tab/>
      </w:r>
      <w:r w:rsidR="00AA77EF" w:rsidRPr="00AA77EF">
        <w:rPr>
          <w:rFonts w:ascii="Gothic725BT-BoldA" w:hAnsi="Gothic725BT-BoldA" w:cs="Gothic725BT-BoldA"/>
          <w:b/>
          <w:bCs/>
          <w:sz w:val="20"/>
          <w:szCs w:val="20"/>
        </w:rPr>
        <w:t>14 %</w:t>
      </w:r>
    </w:p>
    <w:p w:rsidR="00FF4545" w:rsidRPr="00AA77EF" w:rsidRDefault="00FF4545" w:rsidP="00FF4545">
      <w:pPr>
        <w:autoSpaceDE w:val="0"/>
        <w:autoSpaceDN w:val="0"/>
        <w:adjustRightInd w:val="0"/>
        <w:spacing w:after="0" w:line="240" w:lineRule="auto"/>
        <w:jc w:val="both"/>
        <w:rPr>
          <w:rFonts w:ascii="Gothic725BT-BoldA" w:hAnsi="Gothic725BT-BoldA" w:cs="Gothic725BT-BoldA"/>
          <w:b/>
          <w:bCs/>
          <w:sz w:val="20"/>
          <w:szCs w:val="20"/>
        </w:rPr>
      </w:pPr>
      <w:r w:rsidRPr="00AA77EF">
        <w:rPr>
          <w:rFonts w:ascii="Gothic725BT-BoldA" w:hAnsi="Gothic725BT-BoldA" w:cs="Gothic725BT-BoldA"/>
          <w:b/>
          <w:bCs/>
          <w:sz w:val="20"/>
          <w:szCs w:val="20"/>
        </w:rPr>
        <w:t xml:space="preserve">Entre 26 421 et 70 830 </w:t>
      </w:r>
      <w:r w:rsidRPr="00AA77EF">
        <w:rPr>
          <w:rFonts w:ascii="LinotypeEuroFontAtoF" w:hAnsi="LinotypeEuroFontAtoF" w:cs="LinotypeEuroFontAtoF"/>
          <w:sz w:val="20"/>
          <w:szCs w:val="20"/>
        </w:rPr>
        <w:t>a</w:t>
      </w:r>
      <w:r w:rsidR="00AA77EF">
        <w:rPr>
          <w:rFonts w:ascii="LinotypeEuroFontAtoF" w:hAnsi="LinotypeEuroFontAtoF" w:cs="LinotypeEuroFontAtoF"/>
          <w:sz w:val="20"/>
          <w:szCs w:val="20"/>
        </w:rPr>
        <w:tab/>
      </w:r>
      <w:r w:rsidR="00AA77EF">
        <w:rPr>
          <w:rFonts w:ascii="LinotypeEuroFontAtoF" w:hAnsi="LinotypeEuroFontAtoF" w:cs="LinotypeEuroFontAtoF"/>
          <w:sz w:val="20"/>
          <w:szCs w:val="20"/>
        </w:rPr>
        <w:tab/>
      </w:r>
      <w:r w:rsidR="00AA77EF" w:rsidRPr="00AA77EF">
        <w:rPr>
          <w:rFonts w:ascii="Gothic725BT-BoldA" w:hAnsi="Gothic725BT-BoldA" w:cs="Gothic725BT-BoldA"/>
          <w:b/>
          <w:bCs/>
          <w:sz w:val="20"/>
          <w:szCs w:val="20"/>
        </w:rPr>
        <w:t>30 %</w:t>
      </w:r>
    </w:p>
    <w:p w:rsidR="00FF4545" w:rsidRPr="00AA77EF" w:rsidRDefault="00FF4545" w:rsidP="00AA77EF">
      <w:pPr>
        <w:jc w:val="both"/>
        <w:rPr>
          <w:rFonts w:ascii="Gothic725BT-BoldA" w:hAnsi="Gothic725BT-BoldA" w:cs="Gothic725BT-BoldA"/>
          <w:b/>
          <w:bCs/>
          <w:sz w:val="20"/>
          <w:szCs w:val="20"/>
        </w:rPr>
      </w:pPr>
      <w:r w:rsidRPr="00AA77EF">
        <w:rPr>
          <w:rFonts w:ascii="Gothic725BT-BoldA" w:hAnsi="Gothic725BT-BoldA" w:cs="Gothic725BT-BoldA"/>
          <w:b/>
          <w:bCs/>
          <w:sz w:val="20"/>
          <w:szCs w:val="20"/>
        </w:rPr>
        <w:t xml:space="preserve">Plus de 70 830 </w:t>
      </w:r>
      <w:r w:rsidRPr="00AA77EF">
        <w:rPr>
          <w:rFonts w:ascii="LinotypeEuroFontAtoF" w:hAnsi="LinotypeEuroFontAtoF" w:cs="LinotypeEuroFontAtoF"/>
          <w:sz w:val="20"/>
          <w:szCs w:val="20"/>
        </w:rPr>
        <w:t>a</w:t>
      </w:r>
      <w:r w:rsidR="00AA77EF">
        <w:rPr>
          <w:rFonts w:ascii="LinotypeEuroFontAtoF" w:hAnsi="LinotypeEuroFontAtoF" w:cs="LinotypeEuroFontAtoF"/>
          <w:sz w:val="20"/>
          <w:szCs w:val="20"/>
        </w:rPr>
        <w:tab/>
      </w:r>
      <w:r w:rsidR="00AA77EF">
        <w:rPr>
          <w:rFonts w:ascii="LinotypeEuroFontAtoF" w:hAnsi="LinotypeEuroFontAtoF" w:cs="LinotypeEuroFontAtoF"/>
          <w:sz w:val="20"/>
          <w:szCs w:val="20"/>
        </w:rPr>
        <w:tab/>
      </w:r>
      <w:r w:rsidR="00AA77EF">
        <w:rPr>
          <w:rFonts w:ascii="LinotypeEuroFontAtoF" w:hAnsi="LinotypeEuroFontAtoF" w:cs="LinotypeEuroFontAtoF"/>
          <w:sz w:val="20"/>
          <w:szCs w:val="20"/>
        </w:rPr>
        <w:tab/>
      </w:r>
      <w:r w:rsidR="00AA77EF" w:rsidRPr="00AA77EF">
        <w:rPr>
          <w:rFonts w:ascii="Gothic725BT-BoldA" w:hAnsi="Gothic725BT-BoldA" w:cs="Gothic725BT-BoldA"/>
          <w:b/>
          <w:bCs/>
          <w:sz w:val="20"/>
          <w:szCs w:val="20"/>
        </w:rPr>
        <w:t>41 %</w:t>
      </w:r>
    </w:p>
    <w:p w:rsidR="00FF4545" w:rsidRPr="00AA77EF" w:rsidRDefault="00FF4545" w:rsidP="00FF4545">
      <w:pPr>
        <w:autoSpaceDE w:val="0"/>
        <w:autoSpaceDN w:val="0"/>
        <w:adjustRightInd w:val="0"/>
        <w:spacing w:after="0" w:line="240" w:lineRule="auto"/>
        <w:jc w:val="both"/>
        <w:rPr>
          <w:rFonts w:ascii="Gothic725BT-BlackA" w:hAnsi="Gothic725BT-BlackA" w:cs="Gothic725BT-BlackA"/>
          <w:sz w:val="20"/>
          <w:szCs w:val="20"/>
        </w:rPr>
      </w:pPr>
    </w:p>
    <w:p w:rsidR="00FF4545" w:rsidRDefault="00FF4545" w:rsidP="00FF4545">
      <w:pPr>
        <w:autoSpaceDE w:val="0"/>
        <w:autoSpaceDN w:val="0"/>
        <w:adjustRightInd w:val="0"/>
        <w:spacing w:after="0" w:line="240" w:lineRule="auto"/>
        <w:jc w:val="both"/>
        <w:rPr>
          <w:rFonts w:ascii="ImpactMT" w:hAnsi="ImpactMT" w:cs="ImpactMT"/>
          <w:sz w:val="24"/>
          <w:szCs w:val="24"/>
        </w:rPr>
      </w:pPr>
      <w:r>
        <w:rPr>
          <w:rFonts w:ascii="ImpactMT" w:hAnsi="ImpactMT" w:cs="ImpactMT"/>
          <w:sz w:val="24"/>
          <w:szCs w:val="24"/>
        </w:rPr>
        <w:t>Principales mesures fiscales</w:t>
      </w:r>
    </w:p>
    <w:p w:rsidR="00FF4545"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Pr>
          <w:rFonts w:ascii="MS Gothic" w:eastAsia="MS Gothic" w:hAnsi="MS Gothic" w:cs="MS Gothic" w:hint="eastAsia"/>
          <w:sz w:val="20"/>
          <w:szCs w:val="20"/>
        </w:rPr>
        <w:t>➠</w:t>
      </w:r>
      <w:r>
        <w:rPr>
          <w:rFonts w:ascii="AdobePiStd" w:hAnsi="AdobePiStd" w:cs="AdobePiStd"/>
          <w:sz w:val="20"/>
          <w:szCs w:val="20"/>
        </w:rPr>
        <w:t xml:space="preserve"> </w:t>
      </w:r>
      <w:r>
        <w:rPr>
          <w:rFonts w:ascii="CheltenhamEF-BoldCondensed" w:hAnsi="CheltenhamEF-BoldCondensed" w:cs="CheltenhamEF-BoldCondensed"/>
          <w:b/>
          <w:bCs/>
          <w:sz w:val="20"/>
          <w:szCs w:val="20"/>
        </w:rPr>
        <w:t>Contributions sur les hauts revenus et les revenus du capital</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Cette contribution prendrait la forme d’une majoration de 1 point des taux d’imposition suivants :</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BoldCondensed" w:hAnsi="CheltenhamEF-BoldCondensed" w:cs="CheltenhamEF-BoldCondensed"/>
          <w:b/>
          <w:bCs/>
          <w:sz w:val="20"/>
          <w:szCs w:val="20"/>
        </w:rPr>
        <w:t xml:space="preserve">• </w:t>
      </w:r>
      <w:r>
        <w:rPr>
          <w:rFonts w:ascii="CheltenhamEF-LightCondensed" w:hAnsi="CheltenhamEF-LightCondensed" w:cs="CheltenhamEF-LightCondensed"/>
          <w:sz w:val="20"/>
          <w:szCs w:val="20"/>
        </w:rPr>
        <w:t>le taux applicable à la tranche d’imposition la</w:t>
      </w:r>
    </w:p>
    <w:p w:rsidR="00FF4545" w:rsidRPr="00FF4545" w:rsidRDefault="00FF4545" w:rsidP="00AA77EF">
      <w:pPr>
        <w:autoSpaceDE w:val="0"/>
        <w:autoSpaceDN w:val="0"/>
        <w:adjustRightInd w:val="0"/>
        <w:spacing w:after="0" w:line="240" w:lineRule="auto"/>
        <w:rPr>
          <w:rFonts w:ascii="CheltenhamEF-BoldCondensed" w:hAnsi="CheltenhamEF-BoldCondensed" w:cs="CheltenhamEF-BoldCondensed"/>
          <w:b/>
          <w:bCs/>
          <w:sz w:val="20"/>
          <w:szCs w:val="20"/>
        </w:rPr>
      </w:pPr>
      <w:r>
        <w:rPr>
          <w:rFonts w:ascii="CheltenhamEF-LightCondensed" w:hAnsi="CheltenhamEF-LightCondensed" w:cs="CheltenhamEF-LightCondensed"/>
          <w:sz w:val="20"/>
          <w:szCs w:val="20"/>
        </w:rPr>
        <w:t xml:space="preserve">plus élevée du </w:t>
      </w:r>
      <w:r>
        <w:rPr>
          <w:rFonts w:ascii="CheltenhamEF-BoldCondensed" w:hAnsi="CheltenhamEF-BoldCondensed" w:cs="CheltenhamEF-BoldCondensed"/>
          <w:b/>
          <w:bCs/>
          <w:sz w:val="20"/>
          <w:szCs w:val="20"/>
        </w:rPr>
        <w:t>barème progressif de l’IR serait relevé de 40 à 41 %</w:t>
      </w:r>
      <w:r>
        <w:rPr>
          <w:rFonts w:ascii="CheltenhamEF-LightCondensed" w:hAnsi="CheltenhamEF-LightCondensed" w:cs="CheltenhamEF-LightCondensed"/>
          <w:sz w:val="20"/>
          <w:szCs w:val="20"/>
        </w:rPr>
        <w:t>,</w:t>
      </w:r>
      <w:r>
        <w:rPr>
          <w:rFonts w:ascii="CheltenhamEF-LightCondensed" w:hAnsi="CheltenhamEF-LightCondensed" w:cs="CheltenhamEF-LightCondensed"/>
          <w:sz w:val="20"/>
          <w:szCs w:val="20"/>
        </w:rPr>
        <w:br/>
      </w:r>
      <w:r>
        <w:rPr>
          <w:rFonts w:ascii="CheltenhamEF-BoldCondensed" w:hAnsi="CheltenhamEF-BoldCondensed" w:cs="CheltenhamEF-BoldCondensed"/>
          <w:b/>
          <w:bCs/>
          <w:sz w:val="20"/>
          <w:szCs w:val="20"/>
        </w:rPr>
        <w:t xml:space="preserve">• </w:t>
      </w:r>
      <w:r>
        <w:rPr>
          <w:rFonts w:ascii="CheltenhamEF-LightCondensed" w:hAnsi="CheltenhamEF-LightCondensed" w:cs="CheltenhamEF-LightCondensed"/>
          <w:sz w:val="20"/>
          <w:szCs w:val="20"/>
        </w:rPr>
        <w:t xml:space="preserve">le taux du </w:t>
      </w:r>
      <w:r>
        <w:rPr>
          <w:rFonts w:ascii="CheltenhamEF-BoldCondensed" w:hAnsi="CheltenhamEF-BoldCondensed" w:cs="CheltenhamEF-BoldCondensed"/>
          <w:b/>
          <w:bCs/>
          <w:sz w:val="20"/>
          <w:szCs w:val="20"/>
        </w:rPr>
        <w:t>prélèvement forfaitaire</w:t>
      </w:r>
      <w:r>
        <w:rPr>
          <w:rFonts w:ascii="CheltenhamEF-LightCondensed" w:hAnsi="CheltenhamEF-LightCondensed" w:cs="CheltenhamEF-LightCondensed"/>
          <w:sz w:val="20"/>
          <w:szCs w:val="20"/>
        </w:rPr>
        <w:t xml:space="preserve"> </w:t>
      </w:r>
      <w:r>
        <w:rPr>
          <w:rFonts w:ascii="CheltenhamEF-BoldCondensed" w:hAnsi="CheltenhamEF-BoldCondensed" w:cs="CheltenhamEF-BoldCondensed"/>
          <w:b/>
          <w:bCs/>
          <w:sz w:val="20"/>
          <w:szCs w:val="20"/>
        </w:rPr>
        <w:t xml:space="preserve">libératoire </w:t>
      </w:r>
      <w:r>
        <w:rPr>
          <w:rFonts w:ascii="CheltenhamEF-LightCondensed" w:hAnsi="CheltenhamEF-LightCondensed" w:cs="CheltenhamEF-LightCondensed"/>
          <w:sz w:val="20"/>
          <w:szCs w:val="20"/>
        </w:rPr>
        <w:t xml:space="preserve">(qui peut être choisi sur option pour l’imposition des dividendes, intérêts et autres revenus mobiliers) </w:t>
      </w:r>
      <w:r>
        <w:rPr>
          <w:rFonts w:ascii="CheltenhamEF-BoldCondensed" w:hAnsi="CheltenhamEF-BoldCondensed" w:cs="CheltenhamEF-BoldCondensed"/>
          <w:b/>
          <w:bCs/>
          <w:sz w:val="20"/>
          <w:szCs w:val="20"/>
        </w:rPr>
        <w:t>serait porté de 18</w:t>
      </w:r>
      <w:r>
        <w:rPr>
          <w:rFonts w:ascii="CheltenhamEF-LightCondensed" w:hAnsi="CheltenhamEF-LightCondensed" w:cs="CheltenhamEF-LightCondensed"/>
          <w:sz w:val="20"/>
          <w:szCs w:val="20"/>
        </w:rPr>
        <w:t xml:space="preserve"> </w:t>
      </w:r>
      <w:r>
        <w:rPr>
          <w:rFonts w:ascii="CheltenhamEF-BoldCondensed" w:hAnsi="CheltenhamEF-BoldCondensed" w:cs="CheltenhamEF-BoldCondensed"/>
          <w:b/>
          <w:bCs/>
          <w:sz w:val="20"/>
          <w:szCs w:val="20"/>
        </w:rPr>
        <w:t>à 19 %</w:t>
      </w:r>
      <w:r>
        <w:rPr>
          <w:rFonts w:ascii="CheltenhamEF-LightCondensed" w:hAnsi="CheltenhamEF-LightCondensed" w:cs="CheltenhamEF-LightCondensed"/>
          <w:sz w:val="20"/>
          <w:szCs w:val="20"/>
        </w:rPr>
        <w:t>,</w:t>
      </w:r>
    </w:p>
    <w:p w:rsidR="00FF4545"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Pr>
          <w:rFonts w:ascii="CheltenhamEF-BoldCondensed" w:hAnsi="CheltenhamEF-BoldCondensed" w:cs="CheltenhamEF-BoldCondensed"/>
          <w:b/>
          <w:bCs/>
          <w:sz w:val="20"/>
          <w:szCs w:val="20"/>
        </w:rPr>
        <w:t xml:space="preserve">• </w:t>
      </w:r>
      <w:r>
        <w:rPr>
          <w:rFonts w:ascii="CheltenhamEF-LightCondensed" w:hAnsi="CheltenhamEF-LightCondensed" w:cs="CheltenhamEF-LightCondensed"/>
          <w:sz w:val="20"/>
          <w:szCs w:val="20"/>
        </w:rPr>
        <w:t xml:space="preserve">les taux d’imposition à l’IR des </w:t>
      </w:r>
      <w:r>
        <w:rPr>
          <w:rFonts w:ascii="CheltenhamEF-BoldCondensed" w:hAnsi="CheltenhamEF-BoldCondensed" w:cs="CheltenhamEF-BoldCondensed"/>
          <w:b/>
          <w:bCs/>
          <w:sz w:val="20"/>
          <w:szCs w:val="20"/>
        </w:rPr>
        <w:t xml:space="preserve">plus-values de cessions mobilières </w:t>
      </w:r>
      <w:r>
        <w:rPr>
          <w:rFonts w:ascii="CheltenhamEF-LightCondensed" w:hAnsi="CheltenhamEF-LightCondensed" w:cs="CheltenhamEF-LightCondensed"/>
          <w:sz w:val="20"/>
          <w:szCs w:val="20"/>
        </w:rPr>
        <w:t xml:space="preserve">et des </w:t>
      </w:r>
      <w:r>
        <w:rPr>
          <w:rFonts w:ascii="CheltenhamEF-BoldCondensed" w:hAnsi="CheltenhamEF-BoldCondensed" w:cs="CheltenhamEF-BoldCondensed"/>
          <w:b/>
          <w:bCs/>
          <w:sz w:val="20"/>
          <w:szCs w:val="20"/>
        </w:rPr>
        <w:t>plus-values</w:t>
      </w:r>
    </w:p>
    <w:p w:rsidR="00FF4545" w:rsidRPr="00FF4545"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Pr>
          <w:rFonts w:ascii="CheltenhamEF-BoldCondensed" w:hAnsi="CheltenhamEF-BoldCondensed" w:cs="CheltenhamEF-BoldCondensed"/>
          <w:b/>
          <w:bCs/>
          <w:sz w:val="20"/>
          <w:szCs w:val="20"/>
        </w:rPr>
        <w:t xml:space="preserve">immobilières seraient respectivement </w:t>
      </w:r>
      <w:r>
        <w:rPr>
          <w:rFonts w:ascii="CheltenhamEF-LightCondensed" w:hAnsi="CheltenhamEF-LightCondensed" w:cs="CheltenhamEF-LightCondensed"/>
          <w:sz w:val="20"/>
          <w:szCs w:val="20"/>
        </w:rPr>
        <w:t xml:space="preserve">augmentés </w:t>
      </w:r>
      <w:r>
        <w:rPr>
          <w:rFonts w:ascii="CheltenhamEF-BoldCondensed" w:hAnsi="CheltenhamEF-BoldCondensed" w:cs="CheltenhamEF-BoldCondensed"/>
          <w:b/>
          <w:bCs/>
          <w:sz w:val="20"/>
          <w:szCs w:val="20"/>
        </w:rPr>
        <w:t xml:space="preserve">de 18 % à 19 % </w:t>
      </w:r>
      <w:r>
        <w:rPr>
          <w:rFonts w:ascii="CheltenhamEF-LightCondensed" w:hAnsi="CheltenhamEF-LightCondensed" w:cs="CheltenhamEF-LightCondensed"/>
          <w:sz w:val="20"/>
          <w:szCs w:val="20"/>
        </w:rPr>
        <w:t xml:space="preserve">et de </w:t>
      </w:r>
      <w:r>
        <w:rPr>
          <w:rFonts w:ascii="CheltenhamEF-BoldCondensed" w:hAnsi="CheltenhamEF-BoldCondensed" w:cs="CheltenhamEF-BoldCondensed"/>
          <w:b/>
          <w:bCs/>
          <w:sz w:val="20"/>
          <w:szCs w:val="20"/>
        </w:rPr>
        <w:t>16 à 17 %</w:t>
      </w:r>
      <w:r>
        <w:rPr>
          <w:rFonts w:ascii="CheltenhamEF-LightCondensed" w:hAnsi="CheltenhamEF-LightCondensed" w:cs="CheltenhamEF-LightCondensed"/>
          <w:sz w:val="20"/>
          <w:szCs w:val="20"/>
        </w:rPr>
        <w:t>.</w:t>
      </w:r>
    </w:p>
    <w:p w:rsidR="00FF4545" w:rsidRDefault="00FF4545" w:rsidP="00FF4545">
      <w:pPr>
        <w:autoSpaceDE w:val="0"/>
        <w:autoSpaceDN w:val="0"/>
        <w:adjustRightInd w:val="0"/>
        <w:spacing w:after="0" w:line="240" w:lineRule="auto"/>
        <w:jc w:val="both"/>
        <w:rPr>
          <w:rFonts w:ascii="ImpactMT" w:hAnsi="ImpactMT" w:cs="ImpactMT"/>
          <w:sz w:val="24"/>
          <w:szCs w:val="24"/>
        </w:rPr>
      </w:pPr>
    </w:p>
    <w:p w:rsidR="00FF4545" w:rsidRDefault="00FF4545" w:rsidP="00FF4545">
      <w:pPr>
        <w:autoSpaceDE w:val="0"/>
        <w:autoSpaceDN w:val="0"/>
        <w:adjustRightInd w:val="0"/>
        <w:spacing w:after="0" w:line="240" w:lineRule="auto"/>
        <w:jc w:val="both"/>
        <w:rPr>
          <w:rFonts w:ascii="ImpactMT" w:hAnsi="ImpactMT" w:cs="ImpactMT"/>
          <w:sz w:val="24"/>
          <w:szCs w:val="24"/>
        </w:rPr>
      </w:pPr>
      <w:r>
        <w:rPr>
          <w:rFonts w:ascii="ImpactMT" w:hAnsi="ImpactMT" w:cs="ImpactMT"/>
          <w:sz w:val="24"/>
          <w:szCs w:val="24"/>
        </w:rPr>
        <w:t>REMARQUE</w:t>
      </w:r>
    </w:p>
    <w:p w:rsidR="00FF4545" w:rsidRDefault="00FF4545" w:rsidP="00FF4545">
      <w:pPr>
        <w:autoSpaceDE w:val="0"/>
        <w:autoSpaceDN w:val="0"/>
        <w:adjustRightInd w:val="0"/>
        <w:spacing w:after="0" w:line="240" w:lineRule="auto"/>
        <w:jc w:val="both"/>
        <w:rPr>
          <w:rFonts w:ascii="Gothic725BT-BoldA" w:hAnsi="Gothic725BT-BoldA" w:cs="Gothic725BT-BoldA"/>
          <w:b/>
          <w:bCs/>
          <w:sz w:val="16"/>
          <w:szCs w:val="16"/>
        </w:rPr>
      </w:pPr>
      <w:r>
        <w:rPr>
          <w:rFonts w:ascii="Gothic725BT-BoldA" w:hAnsi="Gothic725BT-BoldA" w:cs="Gothic725BT-BoldA"/>
          <w:b/>
          <w:bCs/>
          <w:sz w:val="16"/>
          <w:szCs w:val="16"/>
        </w:rPr>
        <w:t>Cette contribution de 1 % ne serait pas prise en compte pour le calcul du droit à restitution au titre du bouclier fiscal.</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Ces dispositions seraient applicables à compter des impositions payées en 2011, ou en 2012 s’agissant des plus-values de cession de valeurs mobilières.</w:t>
      </w:r>
    </w:p>
    <w:p w:rsidR="00FF4545"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Pr>
          <w:rFonts w:ascii="MS Gothic" w:eastAsia="MS Gothic" w:hAnsi="MS Gothic" w:cs="MS Gothic" w:hint="eastAsia"/>
          <w:sz w:val="20"/>
          <w:szCs w:val="20"/>
        </w:rPr>
        <w:t>➠</w:t>
      </w:r>
      <w:r>
        <w:rPr>
          <w:rFonts w:ascii="AdobePiStd" w:hAnsi="AdobePiStd" w:cs="AdobePiStd"/>
          <w:sz w:val="20"/>
          <w:szCs w:val="20"/>
        </w:rPr>
        <w:t xml:space="preserve"> </w:t>
      </w:r>
      <w:r>
        <w:rPr>
          <w:rFonts w:ascii="CheltenhamEF-BoldCondensed" w:hAnsi="CheltenhamEF-BoldCondensed" w:cs="CheltenhamEF-BoldCondensed"/>
          <w:b/>
          <w:bCs/>
          <w:sz w:val="20"/>
          <w:szCs w:val="20"/>
        </w:rPr>
        <w:t>Suppression du crédit d’impôt sur les dividendes</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Lorsqu’ils sont imposés au barème progressif de l’IR, les dividendes bénéficient de deux</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 xml:space="preserve">abattements, l’un proportionnel au taux de 40 %, l’autre forfaitaire (1 525 </w:t>
      </w:r>
      <w:r>
        <w:rPr>
          <w:rFonts w:ascii="LinotypeEuroFontAtoF" w:hAnsi="LinotypeEuroFontAtoF" w:cs="LinotypeEuroFontAtoF"/>
          <w:sz w:val="20"/>
          <w:szCs w:val="20"/>
        </w:rPr>
        <w:t xml:space="preserve">a </w:t>
      </w:r>
      <w:r>
        <w:rPr>
          <w:rFonts w:ascii="CheltenhamEF-LightCondensed" w:hAnsi="CheltenhamEF-LightCondensed" w:cs="CheltenhamEF-LightCondensed"/>
          <w:sz w:val="20"/>
          <w:szCs w:val="20"/>
        </w:rPr>
        <w:t>pour une personne</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 xml:space="preserve">seule, 3 050 </w:t>
      </w:r>
      <w:r>
        <w:rPr>
          <w:rFonts w:ascii="LinotypeEuroFontAtoF" w:hAnsi="LinotypeEuroFontAtoF" w:cs="LinotypeEuroFontAtoF"/>
          <w:sz w:val="20"/>
          <w:szCs w:val="20"/>
        </w:rPr>
        <w:t xml:space="preserve">a </w:t>
      </w:r>
      <w:r>
        <w:rPr>
          <w:rFonts w:ascii="CheltenhamEF-LightCondensed" w:hAnsi="CheltenhamEF-LightCondensed" w:cs="CheltenhamEF-LightCondensed"/>
          <w:sz w:val="20"/>
          <w:szCs w:val="20"/>
        </w:rPr>
        <w:t>pour un couple). Un crédit d’impôt s’ajoute à ces deux abattements.</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Ce crédit d’impôt serait supprimé à compter de l’imposition des revenus de 2010.</w:t>
      </w:r>
    </w:p>
    <w:p w:rsidR="00FF4545"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Pr>
          <w:rFonts w:ascii="MS Gothic" w:eastAsia="MS Gothic" w:hAnsi="MS Gothic" w:cs="MS Gothic" w:hint="eastAsia"/>
          <w:sz w:val="20"/>
          <w:szCs w:val="20"/>
        </w:rPr>
        <w:t>➠</w:t>
      </w:r>
      <w:r>
        <w:rPr>
          <w:rFonts w:ascii="AdobePiStd" w:hAnsi="AdobePiStd" w:cs="AdobePiStd"/>
          <w:sz w:val="20"/>
          <w:szCs w:val="20"/>
        </w:rPr>
        <w:t xml:space="preserve"> </w:t>
      </w:r>
      <w:r>
        <w:rPr>
          <w:rFonts w:ascii="CheltenhamEF-BoldCondensed" w:hAnsi="CheltenhamEF-BoldCondensed" w:cs="CheltenhamEF-BoldCondensed"/>
          <w:b/>
          <w:bCs/>
          <w:sz w:val="20"/>
          <w:szCs w:val="20"/>
        </w:rPr>
        <w:t>Taxation au 1</w:t>
      </w:r>
      <w:r>
        <w:rPr>
          <w:rFonts w:ascii="CheltenhamEF-BoldCondensed" w:hAnsi="CheltenhamEF-BoldCondensed" w:cs="CheltenhamEF-BoldCondensed"/>
          <w:b/>
          <w:bCs/>
          <w:sz w:val="12"/>
          <w:szCs w:val="12"/>
        </w:rPr>
        <w:t xml:space="preserve">er </w:t>
      </w:r>
      <w:r>
        <w:rPr>
          <w:rFonts w:ascii="CheltenhamEF-BoldCondensed" w:hAnsi="CheltenhamEF-BoldCondensed" w:cs="CheltenhamEF-BoldCondensed"/>
          <w:b/>
          <w:bCs/>
          <w:sz w:val="20"/>
          <w:szCs w:val="20"/>
        </w:rPr>
        <w:t>euro des plus-values mobilières</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Les plus-values de cession de valeurs mobilières des particuliers résidant fiscalement en France sont soumises à l’IR au taux proportionnel de 18 %.</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 xml:space="preserve">Toutefois, lorsque le montant des cessions du foyer fiscal au cours d’une année n’excède pas un seuil fixé à 25 830 </w:t>
      </w:r>
      <w:r>
        <w:rPr>
          <w:rFonts w:ascii="LinotypeEuroFontAtoF" w:hAnsi="LinotypeEuroFontAtoF" w:cs="LinotypeEuroFontAtoF"/>
          <w:sz w:val="20"/>
          <w:szCs w:val="20"/>
        </w:rPr>
        <w:t xml:space="preserve">a </w:t>
      </w:r>
      <w:r>
        <w:rPr>
          <w:rFonts w:ascii="CheltenhamEF-LightCondensed" w:hAnsi="CheltenhamEF-LightCondensed" w:cs="CheltenhamEF-LightCondensed"/>
          <w:sz w:val="20"/>
          <w:szCs w:val="20"/>
        </w:rPr>
        <w:t>pour 2010, les plus-values réalisées au cours de cette année sont exonérées d’IR.</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 xml:space="preserve">Cette disposition serait supprimée. Les plus-values de cession de valeurs mobilières seraient désormais taxées </w:t>
      </w:r>
      <w:r>
        <w:rPr>
          <w:rFonts w:ascii="CheltenhamEF-BoldCondensed" w:hAnsi="CheltenhamEF-BoldCondensed" w:cs="CheltenhamEF-BoldCondensed"/>
          <w:b/>
          <w:bCs/>
          <w:sz w:val="20"/>
          <w:szCs w:val="20"/>
        </w:rPr>
        <w:t>quel que soit le montant</w:t>
      </w:r>
      <w:r>
        <w:rPr>
          <w:rFonts w:ascii="CheltenhamEF-LightCondensed" w:hAnsi="CheltenhamEF-LightCondensed" w:cs="CheltenhamEF-LightCondensed"/>
          <w:sz w:val="20"/>
          <w:szCs w:val="20"/>
        </w:rPr>
        <w:t xml:space="preserve"> </w:t>
      </w:r>
      <w:r>
        <w:rPr>
          <w:rFonts w:ascii="CheltenhamEF-BoldCondensed" w:hAnsi="CheltenhamEF-BoldCondensed" w:cs="CheltenhamEF-BoldCondensed"/>
          <w:b/>
          <w:bCs/>
          <w:sz w:val="20"/>
          <w:szCs w:val="20"/>
        </w:rPr>
        <w:t xml:space="preserve">annuel des cessions. </w:t>
      </w:r>
      <w:r>
        <w:rPr>
          <w:rFonts w:ascii="CheltenhamEF-LightCondensed" w:hAnsi="CheltenhamEF-LightCondensed" w:cs="CheltenhamEF-LightCondensed"/>
          <w:sz w:val="20"/>
          <w:szCs w:val="20"/>
        </w:rPr>
        <w:t>Cette réforme s’appliquerait aux cessions réalisées à compter du 01.01.2011.</w:t>
      </w:r>
    </w:p>
    <w:p w:rsidR="00FF4545"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Pr>
          <w:rFonts w:ascii="MS Gothic" w:eastAsia="MS Gothic" w:hAnsi="MS Gothic" w:cs="MS Gothic" w:hint="eastAsia"/>
          <w:sz w:val="20"/>
          <w:szCs w:val="20"/>
        </w:rPr>
        <w:t>➠</w:t>
      </w:r>
      <w:r>
        <w:rPr>
          <w:rFonts w:ascii="AdobePiStd" w:hAnsi="AdobePiStd" w:cs="AdobePiStd"/>
          <w:sz w:val="20"/>
          <w:szCs w:val="20"/>
        </w:rPr>
        <w:t xml:space="preserve"> </w:t>
      </w:r>
      <w:r>
        <w:rPr>
          <w:rFonts w:ascii="CheltenhamEF-BoldCondensed" w:hAnsi="CheltenhamEF-BoldCondensed" w:cs="CheltenhamEF-BoldCondensed"/>
          <w:b/>
          <w:bCs/>
          <w:sz w:val="20"/>
          <w:szCs w:val="20"/>
        </w:rPr>
        <w:t xml:space="preserve">Assujettissement aux prélèvements sociaux au fil de l’eau de la part en euro des contrats d’assurance-vie </w:t>
      </w:r>
      <w:proofErr w:type="spellStart"/>
      <w:r>
        <w:rPr>
          <w:rFonts w:ascii="CheltenhamEF-BoldCondensed" w:hAnsi="CheltenhamEF-BoldCondensed" w:cs="CheltenhamEF-BoldCondensed"/>
          <w:b/>
          <w:bCs/>
          <w:sz w:val="20"/>
          <w:szCs w:val="20"/>
        </w:rPr>
        <w:t>multisupports</w:t>
      </w:r>
      <w:proofErr w:type="spellEnd"/>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Les produits des contrats d’assurance-vie sont soumis aux prélèvements sociaux :</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BoldCondensed" w:hAnsi="CheltenhamEF-BoldCondensed" w:cs="CheltenhamEF-BoldCondensed"/>
          <w:b/>
          <w:bCs/>
          <w:sz w:val="20"/>
          <w:szCs w:val="20"/>
        </w:rPr>
        <w:t xml:space="preserve">• </w:t>
      </w:r>
      <w:r>
        <w:rPr>
          <w:rFonts w:ascii="CheltenhamEF-LightCondensed" w:hAnsi="CheltenhamEF-LightCondensed" w:cs="CheltenhamEF-LightCondensed"/>
          <w:sz w:val="20"/>
          <w:szCs w:val="20"/>
        </w:rPr>
        <w:t>lors de leur inscription en compte pour les contrats en euros,</w:t>
      </w:r>
    </w:p>
    <w:p w:rsidR="00FF4545" w:rsidRDefault="00FF4545" w:rsidP="00FF4545">
      <w:pPr>
        <w:jc w:val="both"/>
        <w:rPr>
          <w:rFonts w:ascii="CheltenhamEF-LightCondensed" w:hAnsi="CheltenhamEF-LightCondensed" w:cs="CheltenhamEF-LightCondensed"/>
          <w:sz w:val="20"/>
          <w:szCs w:val="20"/>
        </w:rPr>
      </w:pPr>
      <w:r>
        <w:rPr>
          <w:rFonts w:ascii="CheltenhamEF-BoldCondensed" w:hAnsi="CheltenhamEF-BoldCondensed" w:cs="CheltenhamEF-BoldCondensed"/>
          <w:b/>
          <w:bCs/>
          <w:sz w:val="20"/>
          <w:szCs w:val="20"/>
        </w:rPr>
        <w:t xml:space="preserve">• </w:t>
      </w:r>
      <w:r>
        <w:rPr>
          <w:rFonts w:ascii="CheltenhamEF-LightCondensed" w:hAnsi="CheltenhamEF-LightCondensed" w:cs="CheltenhamEF-LightCondensed"/>
          <w:sz w:val="20"/>
          <w:szCs w:val="20"/>
        </w:rPr>
        <w:t>ou lors du dénouement du contrat pour les contrats en unités de compte.</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Les produits du compartiment euro des contrats d’assurance-vie multi supports sont actuellement soumis aux prélèvements sociaux lors du dénouement du contrat. La loi de finances pour 2011 envisage “d’aligner le régime d’imposition du compartiment euro de ces contrats sur celui des</w:t>
      </w:r>
    </w:p>
    <w:p w:rsidR="00FF4545" w:rsidRDefault="00FF4545" w:rsidP="00FF4545">
      <w:pPr>
        <w:autoSpaceDE w:val="0"/>
        <w:autoSpaceDN w:val="0"/>
        <w:adjustRightInd w:val="0"/>
        <w:spacing w:after="0" w:line="240" w:lineRule="auto"/>
        <w:jc w:val="both"/>
        <w:rPr>
          <w:rFonts w:ascii="CheltenhamEF-LightCondensed" w:hAnsi="CheltenhamEF-LightCondensed" w:cs="CheltenhamEF-LightCondensed"/>
          <w:sz w:val="20"/>
          <w:szCs w:val="20"/>
        </w:rPr>
      </w:pPr>
      <w:r>
        <w:rPr>
          <w:rFonts w:ascii="CheltenhamEF-LightCondensed" w:hAnsi="CheltenhamEF-LightCondensed" w:cs="CheltenhamEF-LightCondensed"/>
          <w:sz w:val="20"/>
          <w:szCs w:val="20"/>
        </w:rPr>
        <w:t xml:space="preserve">contrats </w:t>
      </w:r>
      <w:proofErr w:type="spellStart"/>
      <w:r>
        <w:rPr>
          <w:rFonts w:ascii="CheltenhamEF-LightCondensed" w:hAnsi="CheltenhamEF-LightCondensed" w:cs="CheltenhamEF-LightCondensed"/>
          <w:sz w:val="20"/>
          <w:szCs w:val="20"/>
        </w:rPr>
        <w:t>monosupports</w:t>
      </w:r>
      <w:proofErr w:type="spellEnd"/>
      <w:r>
        <w:rPr>
          <w:rFonts w:ascii="CheltenhamEF-LightCondensed" w:hAnsi="CheltenhamEF-LightCondensed" w:cs="CheltenhamEF-LightCondensed"/>
          <w:sz w:val="20"/>
          <w:szCs w:val="20"/>
        </w:rPr>
        <w:t xml:space="preserve"> exprimés en euros”.</w:t>
      </w:r>
    </w:p>
    <w:p w:rsidR="00FF4545" w:rsidRPr="00FF4545" w:rsidRDefault="00FF4545" w:rsidP="00FF4545">
      <w:pPr>
        <w:autoSpaceDE w:val="0"/>
        <w:autoSpaceDN w:val="0"/>
        <w:adjustRightInd w:val="0"/>
        <w:spacing w:after="0" w:line="240" w:lineRule="auto"/>
        <w:jc w:val="both"/>
        <w:rPr>
          <w:rFonts w:ascii="CheltenhamEF-BoldCondensed" w:hAnsi="CheltenhamEF-BoldCondensed" w:cs="CheltenhamEF-BoldCondensed"/>
          <w:b/>
          <w:bCs/>
          <w:sz w:val="20"/>
          <w:szCs w:val="20"/>
        </w:rPr>
      </w:pPr>
      <w:r>
        <w:rPr>
          <w:rFonts w:ascii="CheltenhamEF-LightCondensed" w:hAnsi="CheltenhamEF-LightCondensed" w:cs="CheltenhamEF-LightCondensed"/>
          <w:sz w:val="20"/>
          <w:szCs w:val="20"/>
        </w:rPr>
        <w:t xml:space="preserve">Ainsi, les produits du </w:t>
      </w:r>
      <w:r>
        <w:rPr>
          <w:rFonts w:ascii="CheltenhamEF-BoldCondensed" w:hAnsi="CheltenhamEF-BoldCondensed" w:cs="CheltenhamEF-BoldCondensed"/>
          <w:b/>
          <w:bCs/>
          <w:sz w:val="20"/>
          <w:szCs w:val="20"/>
        </w:rPr>
        <w:t xml:space="preserve">compartiment euro des contrats d’assurance-vie </w:t>
      </w:r>
      <w:proofErr w:type="spellStart"/>
      <w:r>
        <w:rPr>
          <w:rFonts w:ascii="CheltenhamEF-BoldCondensed" w:hAnsi="CheltenhamEF-BoldCondensed" w:cs="CheltenhamEF-BoldCondensed"/>
          <w:b/>
          <w:bCs/>
          <w:sz w:val="20"/>
          <w:szCs w:val="20"/>
        </w:rPr>
        <w:t>multisupports</w:t>
      </w:r>
      <w:proofErr w:type="spellEnd"/>
      <w:r>
        <w:rPr>
          <w:rFonts w:ascii="CheltenhamEF-BoldCondensed" w:hAnsi="CheltenhamEF-BoldCondensed" w:cs="CheltenhamEF-BoldCondensed"/>
          <w:b/>
          <w:bCs/>
          <w:sz w:val="20"/>
          <w:szCs w:val="20"/>
        </w:rPr>
        <w:t xml:space="preserve"> </w:t>
      </w:r>
      <w:r>
        <w:rPr>
          <w:rFonts w:ascii="CheltenhamEF-LightCondensed" w:hAnsi="CheltenhamEF-LightCondensed" w:cs="CheltenhamEF-LightCondensed"/>
          <w:sz w:val="20"/>
          <w:szCs w:val="20"/>
        </w:rPr>
        <w:t>seraient désormais imposés au</w:t>
      </w:r>
      <w:r>
        <w:rPr>
          <w:rFonts w:ascii="CheltenhamEF-BoldCondensed" w:hAnsi="CheltenhamEF-BoldCondensed" w:cs="CheltenhamEF-BoldCondensed"/>
          <w:b/>
          <w:bCs/>
          <w:sz w:val="20"/>
          <w:szCs w:val="20"/>
        </w:rPr>
        <w:t xml:space="preserve"> </w:t>
      </w:r>
      <w:r>
        <w:rPr>
          <w:rFonts w:ascii="CheltenhamEF-LightCondensed" w:hAnsi="CheltenhamEF-LightCondensed" w:cs="CheltenhamEF-LightCondensed"/>
          <w:sz w:val="20"/>
          <w:szCs w:val="20"/>
        </w:rPr>
        <w:t xml:space="preserve">taux de 12,1 % </w:t>
      </w:r>
      <w:r>
        <w:rPr>
          <w:rFonts w:ascii="CheltenhamEF-BoldCondensed" w:hAnsi="CheltenhamEF-BoldCondensed" w:cs="CheltenhamEF-BoldCondensed"/>
          <w:b/>
          <w:bCs/>
          <w:sz w:val="20"/>
          <w:szCs w:val="20"/>
        </w:rPr>
        <w:t xml:space="preserve">dès leur inscription en compte annuelle </w:t>
      </w:r>
      <w:proofErr w:type="spellStart"/>
      <w:r>
        <w:rPr>
          <w:rFonts w:ascii="CheltenhamEF-LightCondensed" w:hAnsi="CheltenhamEF-LightCondensed" w:cs="CheltenhamEF-LightCondensed"/>
          <w:sz w:val="20"/>
          <w:szCs w:val="20"/>
        </w:rPr>
        <w:t>etnon</w:t>
      </w:r>
      <w:proofErr w:type="spellEnd"/>
      <w:r>
        <w:rPr>
          <w:rFonts w:ascii="CheltenhamEF-LightCondensed" w:hAnsi="CheltenhamEF-LightCondensed" w:cs="CheltenhamEF-LightCondensed"/>
          <w:sz w:val="20"/>
          <w:szCs w:val="20"/>
        </w:rPr>
        <w:t xml:space="preserve"> plus au dénouement du contrat.</w:t>
      </w:r>
    </w:p>
    <w:sectPr w:rsidR="00FF4545" w:rsidRPr="00FF4545" w:rsidSect="00C32BB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B9" w:rsidRDefault="000B3FB9" w:rsidP="00FF4545">
      <w:pPr>
        <w:spacing w:after="0" w:line="240" w:lineRule="auto"/>
      </w:pPr>
      <w:r>
        <w:separator/>
      </w:r>
    </w:p>
  </w:endnote>
  <w:endnote w:type="continuationSeparator" w:id="0">
    <w:p w:rsidR="000B3FB9" w:rsidRDefault="000B3FB9" w:rsidP="00FF4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MT">
    <w:panose1 w:val="00000000000000000000"/>
    <w:charset w:val="00"/>
    <w:family w:val="auto"/>
    <w:notTrueType/>
    <w:pitch w:val="default"/>
    <w:sig w:usb0="00000003" w:usb1="00000000" w:usb2="00000000" w:usb3="00000000" w:csb0="00000001" w:csb1="00000000"/>
  </w:font>
  <w:font w:name="CheltenhamEF-LightCondensed">
    <w:panose1 w:val="00000000000000000000"/>
    <w:charset w:val="00"/>
    <w:family w:val="auto"/>
    <w:notTrueType/>
    <w:pitch w:val="default"/>
    <w:sig w:usb0="00000003" w:usb1="00000000" w:usb2="00000000" w:usb3="00000000" w:csb0="00000001" w:csb1="00000000"/>
  </w:font>
  <w:font w:name="CheltenhamEF-BoldCondensed">
    <w:panose1 w:val="00000000000000000000"/>
    <w:charset w:val="00"/>
    <w:family w:val="auto"/>
    <w:notTrueType/>
    <w:pitch w:val="default"/>
    <w:sig w:usb0="00000003" w:usb1="00000000" w:usb2="00000000" w:usb3="00000000" w:csb0="00000001" w:csb1="00000000"/>
  </w:font>
  <w:font w:name="Gothic725BT-BlackA">
    <w:panose1 w:val="00000000000000000000"/>
    <w:charset w:val="00"/>
    <w:family w:val="swiss"/>
    <w:notTrueType/>
    <w:pitch w:val="default"/>
    <w:sig w:usb0="00000003" w:usb1="00000000" w:usb2="00000000" w:usb3="00000000" w:csb0="00000001" w:csb1="00000000"/>
  </w:font>
  <w:font w:name="Gothic725BT-BoldA">
    <w:panose1 w:val="00000000000000000000"/>
    <w:charset w:val="00"/>
    <w:family w:val="swiss"/>
    <w:notTrueType/>
    <w:pitch w:val="default"/>
    <w:sig w:usb0="00000003" w:usb1="00000000" w:usb2="00000000" w:usb3="00000000" w:csb0="00000001" w:csb1="00000000"/>
  </w:font>
  <w:font w:name="LinotypeEuroFontAto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dobePi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B9" w:rsidRDefault="000B3FB9" w:rsidP="00FF4545">
      <w:pPr>
        <w:spacing w:after="0" w:line="240" w:lineRule="auto"/>
      </w:pPr>
      <w:r>
        <w:separator/>
      </w:r>
    </w:p>
  </w:footnote>
  <w:footnote w:type="continuationSeparator" w:id="0">
    <w:p w:rsidR="000B3FB9" w:rsidRDefault="000B3FB9" w:rsidP="00FF4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F4545"/>
    <w:rsid w:val="000B3FB9"/>
    <w:rsid w:val="00AA77EF"/>
    <w:rsid w:val="00C32BBC"/>
    <w:rsid w:val="00D95664"/>
    <w:rsid w:val="00DE633D"/>
    <w:rsid w:val="00FF45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F454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F4545"/>
  </w:style>
  <w:style w:type="paragraph" w:styleId="Pieddepage">
    <w:name w:val="footer"/>
    <w:basedOn w:val="Normal"/>
    <w:link w:val="PieddepageCar"/>
    <w:uiPriority w:val="99"/>
    <w:semiHidden/>
    <w:unhideWhenUsed/>
    <w:rsid w:val="00FF454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F45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506</Words>
  <Characters>2786</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2010-10-23T10:39:00Z</dcterms:created>
  <dcterms:modified xsi:type="dcterms:W3CDTF">2010-10-23T10:52:00Z</dcterms:modified>
</cp:coreProperties>
</file>