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3E" w:rsidRPr="009E3B3E" w:rsidRDefault="009E3B3E" w:rsidP="009E3B3E">
      <w:pPr>
        <w:spacing w:before="100" w:beforeAutospacing="1" w:after="100" w:afterAutospacing="1" w:line="240" w:lineRule="auto"/>
        <w:outlineLvl w:val="0"/>
        <w:rPr>
          <w:rFonts w:ascii="Times New Roman" w:eastAsia="Times New Roman" w:hAnsi="Times New Roman" w:cs="Times New Roman"/>
          <w:b/>
          <w:bCs/>
          <w:kern w:val="36"/>
          <w:sz w:val="18"/>
          <w:szCs w:val="20"/>
          <w:lang w:eastAsia="fr-FR"/>
        </w:rPr>
      </w:pPr>
      <w:bookmarkStart w:id="0" w:name="_GoBack"/>
      <w:r w:rsidRPr="009E3B3E">
        <w:rPr>
          <w:rFonts w:ascii="Times New Roman" w:eastAsia="Times New Roman" w:hAnsi="Times New Roman" w:cs="Times New Roman"/>
          <w:b/>
          <w:bCs/>
          <w:kern w:val="36"/>
          <w:sz w:val="18"/>
          <w:szCs w:val="20"/>
          <w:lang w:eastAsia="fr-FR"/>
        </w:rPr>
        <w:t>Externalisation de biens immobiliers</w:t>
      </w:r>
    </w:p>
    <w:bookmarkEnd w:id="0"/>
    <w:p w:rsidR="009E3B3E" w:rsidRPr="009E3B3E" w:rsidRDefault="009E3B3E" w:rsidP="009E3B3E">
      <w:p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En période de crise et d'accès restreint au crédit, le </w:t>
      </w:r>
      <w:r w:rsidRPr="004E5845">
        <w:rPr>
          <w:rFonts w:ascii="Times New Roman" w:eastAsia="Times New Roman" w:hAnsi="Times New Roman" w:cs="Times New Roman"/>
          <w:b/>
          <w:bCs/>
          <w:sz w:val="18"/>
          <w:szCs w:val="20"/>
          <w:lang w:eastAsia="fr-FR"/>
        </w:rPr>
        <w:t xml:space="preserve">crédit-bail </w:t>
      </w:r>
      <w:r w:rsidRPr="009E3B3E">
        <w:rPr>
          <w:rFonts w:ascii="Times New Roman" w:eastAsia="Times New Roman" w:hAnsi="Times New Roman" w:cs="Times New Roman"/>
          <w:sz w:val="18"/>
          <w:szCs w:val="20"/>
          <w:lang w:eastAsia="fr-FR"/>
        </w:rPr>
        <w:t xml:space="preserve">ou la </w:t>
      </w:r>
      <w:r w:rsidRPr="004E5845">
        <w:rPr>
          <w:rFonts w:ascii="Times New Roman" w:eastAsia="Times New Roman" w:hAnsi="Times New Roman" w:cs="Times New Roman"/>
          <w:b/>
          <w:bCs/>
          <w:sz w:val="18"/>
          <w:szCs w:val="20"/>
          <w:lang w:eastAsia="fr-FR"/>
        </w:rPr>
        <w:t xml:space="preserve">cession de bureaux et de bâtiments d'exploitation </w:t>
      </w:r>
      <w:r w:rsidRPr="009E3B3E">
        <w:rPr>
          <w:rFonts w:ascii="Times New Roman" w:eastAsia="Times New Roman" w:hAnsi="Times New Roman" w:cs="Times New Roman"/>
          <w:sz w:val="18"/>
          <w:szCs w:val="20"/>
          <w:lang w:eastAsia="fr-FR"/>
        </w:rPr>
        <w:t>se révèle plus que jamais un moyen efficace de financement ou de désendettement.</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Et pourquoi ne pas </w:t>
      </w:r>
      <w:r w:rsidRPr="004E5845">
        <w:rPr>
          <w:rFonts w:ascii="Times New Roman" w:eastAsia="Times New Roman" w:hAnsi="Times New Roman" w:cs="Times New Roman"/>
          <w:b/>
          <w:bCs/>
          <w:sz w:val="18"/>
          <w:szCs w:val="20"/>
          <w:lang w:eastAsia="fr-FR"/>
        </w:rPr>
        <w:t xml:space="preserve">bénéficier des incitations fiscales </w:t>
      </w:r>
      <w:r w:rsidRPr="009E3B3E">
        <w:rPr>
          <w:rFonts w:ascii="Times New Roman" w:eastAsia="Times New Roman" w:hAnsi="Times New Roman" w:cs="Times New Roman"/>
          <w:sz w:val="18"/>
          <w:szCs w:val="20"/>
          <w:lang w:eastAsia="fr-FR"/>
        </w:rPr>
        <w:t xml:space="preserve">en matière de </w:t>
      </w:r>
      <w:proofErr w:type="spellStart"/>
      <w:r w:rsidRPr="009E3B3E">
        <w:rPr>
          <w:rFonts w:ascii="Times New Roman" w:eastAsia="Times New Roman" w:hAnsi="Times New Roman" w:cs="Times New Roman"/>
          <w:sz w:val="18"/>
          <w:szCs w:val="20"/>
          <w:lang w:eastAsia="fr-FR"/>
        </w:rPr>
        <w:t>cession-bail</w:t>
      </w:r>
      <w:proofErr w:type="spellEnd"/>
      <w:r w:rsidRPr="009E3B3E">
        <w:rPr>
          <w:rFonts w:ascii="Times New Roman" w:eastAsia="Times New Roman" w:hAnsi="Times New Roman" w:cs="Times New Roman"/>
          <w:sz w:val="18"/>
          <w:szCs w:val="20"/>
          <w:lang w:eastAsia="fr-FR"/>
        </w:rPr>
        <w:t>, notamment :</w:t>
      </w:r>
    </w:p>
    <w:p w:rsidR="009E3B3E" w:rsidRPr="009E3B3E" w:rsidRDefault="009E3B3E" w:rsidP="009E3B3E">
      <w:pPr>
        <w:numPr>
          <w:ilvl w:val="0"/>
          <w:numId w:val="1"/>
        </w:num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le </w:t>
      </w:r>
      <w:r w:rsidRPr="004E5845">
        <w:rPr>
          <w:rFonts w:ascii="Times New Roman" w:eastAsia="Times New Roman" w:hAnsi="Times New Roman" w:cs="Times New Roman"/>
          <w:b/>
          <w:bCs/>
          <w:sz w:val="18"/>
          <w:szCs w:val="20"/>
          <w:lang w:eastAsia="fr-FR"/>
        </w:rPr>
        <w:t>régime fiscal préférentiel</w:t>
      </w:r>
      <w:r w:rsidRPr="009E3B3E">
        <w:rPr>
          <w:rFonts w:ascii="Times New Roman" w:eastAsia="Times New Roman" w:hAnsi="Times New Roman" w:cs="Times New Roman"/>
          <w:sz w:val="18"/>
          <w:szCs w:val="20"/>
          <w:lang w:eastAsia="fr-FR"/>
        </w:rPr>
        <w:t xml:space="preserve"> accordé aux cessions à des Sociétés d'Investissements Immobiliers Cotées (SIIC),</w:t>
      </w:r>
    </w:p>
    <w:p w:rsidR="009E3B3E" w:rsidRPr="009E3B3E" w:rsidRDefault="009E3B3E" w:rsidP="009E3B3E">
      <w:pPr>
        <w:numPr>
          <w:ilvl w:val="0"/>
          <w:numId w:val="1"/>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 xml:space="preserve">l'extension de ces dispositions </w:t>
      </w:r>
      <w:r w:rsidRPr="009E3B3E">
        <w:rPr>
          <w:rFonts w:ascii="Times New Roman" w:eastAsia="Times New Roman" w:hAnsi="Times New Roman" w:cs="Times New Roman"/>
          <w:sz w:val="18"/>
          <w:szCs w:val="20"/>
          <w:lang w:eastAsia="fr-FR"/>
        </w:rPr>
        <w:t>aux Organismes de Placement Collectif en Immobilier (OPCI),</w:t>
      </w:r>
    </w:p>
    <w:p w:rsidR="009E3B3E" w:rsidRPr="009E3B3E" w:rsidRDefault="009E3B3E" w:rsidP="009E3B3E">
      <w:pPr>
        <w:numPr>
          <w:ilvl w:val="0"/>
          <w:numId w:val="1"/>
        </w:num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ou de </w:t>
      </w:r>
      <w:r w:rsidRPr="004E5845">
        <w:rPr>
          <w:rFonts w:ascii="Times New Roman" w:eastAsia="Times New Roman" w:hAnsi="Times New Roman" w:cs="Times New Roman"/>
          <w:b/>
          <w:bCs/>
          <w:sz w:val="18"/>
          <w:szCs w:val="20"/>
          <w:lang w:eastAsia="fr-FR"/>
        </w:rPr>
        <w:t xml:space="preserve">l'opportunité d'étalement de la plus-value </w:t>
      </w:r>
      <w:r w:rsidRPr="009E3B3E">
        <w:rPr>
          <w:rFonts w:ascii="Times New Roman" w:eastAsia="Times New Roman" w:hAnsi="Times New Roman" w:cs="Times New Roman"/>
          <w:sz w:val="18"/>
          <w:szCs w:val="20"/>
          <w:lang w:eastAsia="fr-FR"/>
        </w:rPr>
        <w:t xml:space="preserve">en cas de cession à un </w:t>
      </w:r>
      <w:proofErr w:type="spellStart"/>
      <w:r w:rsidRPr="009E3B3E">
        <w:rPr>
          <w:rFonts w:ascii="Times New Roman" w:eastAsia="Times New Roman" w:hAnsi="Times New Roman" w:cs="Times New Roman"/>
          <w:sz w:val="18"/>
          <w:szCs w:val="20"/>
          <w:lang w:eastAsia="fr-FR"/>
        </w:rPr>
        <w:t>crédit-bailleur</w:t>
      </w:r>
      <w:proofErr w:type="spellEnd"/>
      <w:r w:rsidRPr="009E3B3E">
        <w:rPr>
          <w:rFonts w:ascii="Times New Roman" w:eastAsia="Times New Roman" w:hAnsi="Times New Roman" w:cs="Times New Roman"/>
          <w:sz w:val="18"/>
          <w:szCs w:val="20"/>
          <w:lang w:eastAsia="fr-FR"/>
        </w:rPr>
        <w:t>.</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En outre, l'externalisation des immeubles offre à l'entreprise la possibilité de se concentrer sur son </w:t>
      </w:r>
      <w:proofErr w:type="spellStart"/>
      <w:r w:rsidRPr="009E3B3E">
        <w:rPr>
          <w:rFonts w:ascii="Times New Roman" w:eastAsia="Times New Roman" w:hAnsi="Times New Roman" w:cs="Times New Roman"/>
          <w:sz w:val="18"/>
          <w:szCs w:val="20"/>
          <w:lang w:eastAsia="fr-FR"/>
        </w:rPr>
        <w:t>core</w:t>
      </w:r>
      <w:proofErr w:type="spellEnd"/>
      <w:r w:rsidRPr="009E3B3E">
        <w:rPr>
          <w:rFonts w:ascii="Times New Roman" w:eastAsia="Times New Roman" w:hAnsi="Times New Roman" w:cs="Times New Roman"/>
          <w:sz w:val="18"/>
          <w:szCs w:val="20"/>
          <w:lang w:eastAsia="fr-FR"/>
        </w:rPr>
        <w:t xml:space="preserve"> business.</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Mais attention, des </w:t>
      </w:r>
      <w:r w:rsidRPr="004E5845">
        <w:rPr>
          <w:rFonts w:ascii="Times New Roman" w:eastAsia="Times New Roman" w:hAnsi="Times New Roman" w:cs="Times New Roman"/>
          <w:b/>
          <w:bCs/>
          <w:sz w:val="18"/>
          <w:szCs w:val="20"/>
          <w:lang w:eastAsia="fr-FR"/>
        </w:rPr>
        <w:t>conditions sont à considérer avant la décision</w:t>
      </w:r>
      <w:r w:rsidRPr="009E3B3E">
        <w:rPr>
          <w:rFonts w:ascii="Times New Roman" w:eastAsia="Times New Roman" w:hAnsi="Times New Roman" w:cs="Times New Roman"/>
          <w:sz w:val="18"/>
          <w:szCs w:val="20"/>
          <w:lang w:eastAsia="fr-FR"/>
        </w:rPr>
        <w:t xml:space="preserve"> de cession ou de crédit-bail :</w:t>
      </w:r>
    </w:p>
    <w:p w:rsidR="009E3B3E" w:rsidRPr="009E3B3E" w:rsidRDefault="009E3B3E" w:rsidP="009E3B3E">
      <w:pPr>
        <w:numPr>
          <w:ilvl w:val="0"/>
          <w:numId w:val="2"/>
        </w:num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l'</w:t>
      </w:r>
      <w:r w:rsidRPr="004E5845">
        <w:rPr>
          <w:rFonts w:ascii="Times New Roman" w:eastAsia="Times New Roman" w:hAnsi="Times New Roman" w:cs="Times New Roman"/>
          <w:b/>
          <w:bCs/>
          <w:sz w:val="18"/>
          <w:szCs w:val="20"/>
          <w:lang w:eastAsia="fr-FR"/>
        </w:rPr>
        <w:t xml:space="preserve">adéquation des caractéristiques du bien immobilier </w:t>
      </w:r>
      <w:r w:rsidRPr="009E3B3E">
        <w:rPr>
          <w:rFonts w:ascii="Times New Roman" w:eastAsia="Times New Roman" w:hAnsi="Times New Roman" w:cs="Times New Roman"/>
          <w:sz w:val="18"/>
          <w:szCs w:val="20"/>
          <w:lang w:eastAsia="fr-FR"/>
        </w:rPr>
        <w:t>avec les attentes des investisseurs sur sa liquidité et son rendement,</w:t>
      </w:r>
    </w:p>
    <w:p w:rsidR="009E3B3E" w:rsidRPr="009E3B3E" w:rsidRDefault="009E3B3E" w:rsidP="009E3B3E">
      <w:pPr>
        <w:numPr>
          <w:ilvl w:val="0"/>
          <w:numId w:val="2"/>
        </w:num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la </w:t>
      </w:r>
      <w:r w:rsidRPr="004E5845">
        <w:rPr>
          <w:rFonts w:ascii="Times New Roman" w:eastAsia="Times New Roman" w:hAnsi="Times New Roman" w:cs="Times New Roman"/>
          <w:b/>
          <w:bCs/>
          <w:sz w:val="18"/>
          <w:szCs w:val="20"/>
          <w:lang w:eastAsia="fr-FR"/>
        </w:rPr>
        <w:t xml:space="preserve">convergence des intérêts des deux parties </w:t>
      </w:r>
      <w:r w:rsidRPr="009E3B3E">
        <w:rPr>
          <w:rFonts w:ascii="Times New Roman" w:eastAsia="Times New Roman" w:hAnsi="Times New Roman" w:cs="Times New Roman"/>
          <w:sz w:val="18"/>
          <w:szCs w:val="20"/>
          <w:lang w:eastAsia="fr-FR"/>
        </w:rPr>
        <w:t>en termes d'exploitation et d'entretien des immeubles,</w:t>
      </w:r>
    </w:p>
    <w:p w:rsidR="009E3B3E" w:rsidRPr="009E3B3E" w:rsidRDefault="009E3B3E" w:rsidP="009E3B3E">
      <w:pPr>
        <w:numPr>
          <w:ilvl w:val="0"/>
          <w:numId w:val="2"/>
        </w:num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le </w:t>
      </w:r>
      <w:r w:rsidRPr="004E5845">
        <w:rPr>
          <w:rFonts w:ascii="Times New Roman" w:eastAsia="Times New Roman" w:hAnsi="Times New Roman" w:cs="Times New Roman"/>
          <w:b/>
          <w:bCs/>
          <w:sz w:val="18"/>
          <w:szCs w:val="20"/>
          <w:lang w:eastAsia="fr-FR"/>
        </w:rPr>
        <w:t>calendrier et les modalités des opérations</w:t>
      </w:r>
      <w:r w:rsidRPr="009E3B3E">
        <w:rPr>
          <w:rFonts w:ascii="Times New Roman" w:eastAsia="Times New Roman" w:hAnsi="Times New Roman" w:cs="Times New Roman"/>
          <w:sz w:val="18"/>
          <w:szCs w:val="20"/>
          <w:lang w:eastAsia="fr-FR"/>
        </w:rPr>
        <w:t xml:space="preserve"> de </w:t>
      </w:r>
      <w:proofErr w:type="spellStart"/>
      <w:r w:rsidRPr="009E3B3E">
        <w:rPr>
          <w:rFonts w:ascii="Times New Roman" w:eastAsia="Times New Roman" w:hAnsi="Times New Roman" w:cs="Times New Roman"/>
          <w:sz w:val="18"/>
          <w:szCs w:val="20"/>
          <w:lang w:eastAsia="fr-FR"/>
        </w:rPr>
        <w:t>cession-bail</w:t>
      </w:r>
      <w:proofErr w:type="spellEnd"/>
      <w:r w:rsidRPr="009E3B3E">
        <w:rPr>
          <w:rFonts w:ascii="Times New Roman" w:eastAsia="Times New Roman" w:hAnsi="Times New Roman" w:cs="Times New Roman"/>
          <w:sz w:val="18"/>
          <w:szCs w:val="20"/>
          <w:lang w:eastAsia="fr-FR"/>
        </w:rPr>
        <w:t xml:space="preserve">. </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sz w:val="18"/>
          <w:szCs w:val="20"/>
          <w:lang w:eastAsia="fr-FR"/>
        </w:rPr>
      </w:pPr>
      <w:r w:rsidRPr="009E3B3E">
        <w:rPr>
          <w:rFonts w:ascii="Times New Roman" w:eastAsia="Times New Roman" w:hAnsi="Times New Roman" w:cs="Times New Roman"/>
          <w:sz w:val="18"/>
          <w:szCs w:val="20"/>
          <w:lang w:eastAsia="fr-FR"/>
        </w:rPr>
        <w:t xml:space="preserve">« Cash </w:t>
      </w:r>
      <w:proofErr w:type="spellStart"/>
      <w:r w:rsidRPr="009E3B3E">
        <w:rPr>
          <w:rFonts w:ascii="Times New Roman" w:eastAsia="Times New Roman" w:hAnsi="Times New Roman" w:cs="Times New Roman"/>
          <w:sz w:val="18"/>
          <w:szCs w:val="20"/>
          <w:lang w:eastAsia="fr-FR"/>
        </w:rPr>
        <w:t>is</w:t>
      </w:r>
      <w:proofErr w:type="spellEnd"/>
      <w:r w:rsidRPr="009E3B3E">
        <w:rPr>
          <w:rFonts w:ascii="Times New Roman" w:eastAsia="Times New Roman" w:hAnsi="Times New Roman" w:cs="Times New Roman"/>
          <w:sz w:val="18"/>
          <w:szCs w:val="20"/>
          <w:lang w:eastAsia="fr-FR"/>
        </w:rPr>
        <w:t xml:space="preserve"> </w:t>
      </w:r>
      <w:proofErr w:type="spellStart"/>
      <w:r w:rsidRPr="009E3B3E">
        <w:rPr>
          <w:rFonts w:ascii="Times New Roman" w:eastAsia="Times New Roman" w:hAnsi="Times New Roman" w:cs="Times New Roman"/>
          <w:sz w:val="18"/>
          <w:szCs w:val="20"/>
          <w:lang w:eastAsia="fr-FR"/>
        </w:rPr>
        <w:t>king</w:t>
      </w:r>
      <w:proofErr w:type="spellEnd"/>
      <w:r w:rsidRPr="009E3B3E">
        <w:rPr>
          <w:rFonts w:ascii="Times New Roman" w:eastAsia="Times New Roman" w:hAnsi="Times New Roman" w:cs="Times New Roman"/>
          <w:sz w:val="18"/>
          <w:szCs w:val="20"/>
          <w:lang w:eastAsia="fr-FR"/>
        </w:rPr>
        <w:t xml:space="preserve"> » mais pas sans avoir anticipé tous les enjeux opérationnels, juridiques et fiscaux de la décision d'externalisation. </w:t>
      </w:r>
    </w:p>
    <w:p w:rsidR="003840AC" w:rsidRPr="004E5845" w:rsidRDefault="00111584" w:rsidP="003840AC">
      <w:pPr>
        <w:pStyle w:val="NormalWeb"/>
        <w:rPr>
          <w:sz w:val="18"/>
          <w:szCs w:val="20"/>
        </w:rPr>
      </w:pPr>
      <w:hyperlink r:id="rId6" w:history="1">
        <w:r w:rsidR="009E3B3E" w:rsidRPr="004E5845">
          <w:rPr>
            <w:b/>
            <w:bCs/>
            <w:sz w:val="18"/>
            <w:szCs w:val="20"/>
          </w:rPr>
          <w:t>Propriétaire ou locataire ?</w:t>
        </w:r>
      </w:hyperlink>
      <w:r w:rsidR="003840AC" w:rsidRPr="004E5845">
        <w:rPr>
          <w:sz w:val="18"/>
          <w:szCs w:val="20"/>
        </w:rPr>
        <w:t xml:space="preserve"> Un chiffre communément admis : 70% des entreprises européennes sont propriétaires de leurs murs. Même si ce chiffre circule depuis trop longtemps pour être encore vrai, la mobilisation de capitaux que l'immobilier représente au bilan reste vertigineuse. Néanmoins, la pratique reste disparate selon les secteurs.</w:t>
      </w:r>
    </w:p>
    <w:p w:rsidR="009E3B3E" w:rsidRPr="009E3B3E" w:rsidRDefault="003840AC" w:rsidP="003840AC">
      <w:pPr>
        <w:spacing w:before="100" w:beforeAutospacing="1" w:after="100" w:afterAutospacing="1" w:line="240" w:lineRule="auto"/>
        <w:rPr>
          <w:rFonts w:ascii="Times New Roman" w:eastAsia="Times New Roman" w:hAnsi="Times New Roman" w:cs="Times New Roman"/>
          <w:sz w:val="18"/>
          <w:szCs w:val="20"/>
          <w:lang w:eastAsia="fr-FR"/>
        </w:rPr>
      </w:pPr>
      <w:r w:rsidRPr="003840AC">
        <w:rPr>
          <w:rFonts w:ascii="Times New Roman" w:eastAsia="Times New Roman" w:hAnsi="Times New Roman" w:cs="Times New Roman"/>
          <w:sz w:val="18"/>
          <w:szCs w:val="20"/>
          <w:lang w:eastAsia="fr-FR"/>
        </w:rPr>
        <w:t>En effet, céder son immobilier d'exploitation pour en devenir locataire (</w:t>
      </w:r>
      <w:proofErr w:type="spellStart"/>
      <w:r w:rsidRPr="003840AC">
        <w:rPr>
          <w:rFonts w:ascii="Times New Roman" w:eastAsia="Times New Roman" w:hAnsi="Times New Roman" w:cs="Times New Roman"/>
          <w:sz w:val="18"/>
          <w:szCs w:val="20"/>
          <w:lang w:eastAsia="fr-FR"/>
        </w:rPr>
        <w:t>cession-bail</w:t>
      </w:r>
      <w:proofErr w:type="spellEnd"/>
      <w:r w:rsidRPr="003840AC">
        <w:rPr>
          <w:rFonts w:ascii="Times New Roman" w:eastAsia="Times New Roman" w:hAnsi="Times New Roman" w:cs="Times New Roman"/>
          <w:sz w:val="18"/>
          <w:szCs w:val="20"/>
          <w:lang w:eastAsia="fr-FR"/>
        </w:rPr>
        <w:t xml:space="preserve"> ou sale-and-</w:t>
      </w:r>
      <w:proofErr w:type="spellStart"/>
      <w:r w:rsidRPr="003840AC">
        <w:rPr>
          <w:rFonts w:ascii="Times New Roman" w:eastAsia="Times New Roman" w:hAnsi="Times New Roman" w:cs="Times New Roman"/>
          <w:sz w:val="18"/>
          <w:szCs w:val="20"/>
          <w:lang w:eastAsia="fr-FR"/>
        </w:rPr>
        <w:t>lease</w:t>
      </w:r>
      <w:proofErr w:type="spellEnd"/>
      <w:r w:rsidRPr="003840AC">
        <w:rPr>
          <w:rFonts w:ascii="Times New Roman" w:eastAsia="Times New Roman" w:hAnsi="Times New Roman" w:cs="Times New Roman"/>
          <w:sz w:val="18"/>
          <w:szCs w:val="20"/>
          <w:lang w:eastAsia="fr-FR"/>
        </w:rPr>
        <w:t xml:space="preserve"> back) est aujourd'hui une pratique courante dans des secteurs comme la </w:t>
      </w:r>
      <w:r w:rsidRPr="007D4D3E">
        <w:rPr>
          <w:rFonts w:ascii="Times New Roman" w:eastAsia="Times New Roman" w:hAnsi="Times New Roman" w:cs="Times New Roman"/>
          <w:sz w:val="18"/>
          <w:szCs w:val="20"/>
          <w:highlight w:val="yellow"/>
          <w:lang w:eastAsia="fr-FR"/>
        </w:rPr>
        <w:t>restauration de chaîne, la distribution, la logistique, l'hôtellerie ou les maisons de retraite.</w:t>
      </w:r>
      <w:r w:rsidRPr="003840AC">
        <w:rPr>
          <w:rFonts w:ascii="Times New Roman" w:eastAsia="Times New Roman" w:hAnsi="Times New Roman" w:cs="Times New Roman"/>
          <w:sz w:val="18"/>
          <w:szCs w:val="20"/>
          <w:lang w:eastAsia="fr-FR"/>
        </w:rPr>
        <w:t xml:space="preserve"> </w:t>
      </w:r>
      <w:r w:rsidRPr="003840AC">
        <w:rPr>
          <w:rFonts w:ascii="Times New Roman" w:eastAsia="Times New Roman" w:hAnsi="Times New Roman" w:cs="Times New Roman"/>
          <w:sz w:val="18"/>
          <w:szCs w:val="20"/>
          <w:lang w:eastAsia="fr-FR"/>
        </w:rPr>
        <w:br/>
        <w:t xml:space="preserve">Mais les externalisations de murs industriels comme celles réalisées par Thales ou France Telecom il y a quelques années, sont plus rares. Et pourtant, </w:t>
      </w:r>
      <w:r w:rsidRPr="00424905">
        <w:rPr>
          <w:rFonts w:ascii="Times New Roman" w:eastAsia="Times New Roman" w:hAnsi="Times New Roman" w:cs="Times New Roman"/>
          <w:sz w:val="18"/>
          <w:szCs w:val="20"/>
          <w:highlight w:val="yellow"/>
          <w:lang w:eastAsia="fr-FR"/>
        </w:rPr>
        <w:t xml:space="preserve">développer et entretenir un parc immobilier nécessite des compétences souvent très éloignées du </w:t>
      </w:r>
      <w:proofErr w:type="spellStart"/>
      <w:r w:rsidRPr="00424905">
        <w:rPr>
          <w:rFonts w:ascii="Times New Roman" w:eastAsia="Times New Roman" w:hAnsi="Times New Roman" w:cs="Times New Roman"/>
          <w:sz w:val="18"/>
          <w:szCs w:val="20"/>
          <w:highlight w:val="yellow"/>
          <w:lang w:eastAsia="fr-FR"/>
        </w:rPr>
        <w:t>core</w:t>
      </w:r>
      <w:proofErr w:type="spellEnd"/>
      <w:r w:rsidRPr="00424905">
        <w:rPr>
          <w:rFonts w:ascii="Times New Roman" w:eastAsia="Times New Roman" w:hAnsi="Times New Roman" w:cs="Times New Roman"/>
          <w:sz w:val="18"/>
          <w:szCs w:val="20"/>
          <w:highlight w:val="yellow"/>
          <w:lang w:eastAsia="fr-FR"/>
        </w:rPr>
        <w:t xml:space="preserve"> business de l'entreprise.</w:t>
      </w:r>
      <w:r w:rsidRPr="003840AC">
        <w:rPr>
          <w:rFonts w:ascii="Times New Roman" w:eastAsia="Times New Roman" w:hAnsi="Times New Roman" w:cs="Times New Roman"/>
          <w:sz w:val="18"/>
          <w:szCs w:val="20"/>
          <w:lang w:eastAsia="fr-FR"/>
        </w:rPr>
        <w:t xml:space="preserve"> </w:t>
      </w:r>
      <w:r w:rsidRPr="003840AC">
        <w:rPr>
          <w:rFonts w:ascii="Times New Roman" w:eastAsia="Times New Roman" w:hAnsi="Times New Roman" w:cs="Times New Roman"/>
          <w:sz w:val="18"/>
          <w:szCs w:val="20"/>
          <w:lang w:eastAsia="fr-FR"/>
        </w:rPr>
        <w:br/>
        <w:t xml:space="preserve">En outre, l'externalisation présente des avantages financiers particulièrement appréciables en cette période de crise, notamment pour les entreprises se retrouvant face au </w:t>
      </w:r>
      <w:r w:rsidRPr="00424905">
        <w:rPr>
          <w:rFonts w:ascii="Times New Roman" w:eastAsia="Times New Roman" w:hAnsi="Times New Roman" w:cs="Times New Roman"/>
          <w:sz w:val="18"/>
          <w:szCs w:val="20"/>
          <w:highlight w:val="yellow"/>
          <w:lang w:eastAsia="fr-FR"/>
        </w:rPr>
        <w:t>mur de la dette</w:t>
      </w:r>
      <w:r w:rsidRPr="003840AC">
        <w:rPr>
          <w:rFonts w:ascii="Times New Roman" w:eastAsia="Times New Roman" w:hAnsi="Times New Roman" w:cs="Times New Roman"/>
          <w:sz w:val="18"/>
          <w:szCs w:val="20"/>
          <w:lang w:eastAsia="fr-FR"/>
        </w:rPr>
        <w:t xml:space="preserve">. </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vanish/>
          <w:sz w:val="18"/>
          <w:szCs w:val="20"/>
          <w:lang w:eastAsia="fr-FR"/>
        </w:rPr>
      </w:pPr>
      <w:r w:rsidRPr="009E3B3E">
        <w:rPr>
          <w:rFonts w:ascii="Times New Roman" w:eastAsia="Times New Roman" w:hAnsi="Times New Roman" w:cs="Times New Roman"/>
          <w:vanish/>
          <w:sz w:val="18"/>
          <w:szCs w:val="20"/>
          <w:lang w:eastAsia="fr-FR"/>
        </w:rPr>
        <w:t>Un chiffre communément admis : 70% des entreprises européennes sont propriétaires de leurs murs. Même si ce chiffre circule depuis trop longtemps pour être encore vrai, la mobilisation de capitaux que l'immobilier représente au bilan reste vertigineuse. Néanmoins, la pratique reste disparate selon les secteurs.</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vanish/>
          <w:sz w:val="18"/>
          <w:szCs w:val="20"/>
          <w:lang w:eastAsia="fr-FR"/>
        </w:rPr>
      </w:pPr>
      <w:r w:rsidRPr="009E3B3E">
        <w:rPr>
          <w:rFonts w:ascii="Times New Roman" w:eastAsia="Times New Roman" w:hAnsi="Times New Roman" w:cs="Times New Roman"/>
          <w:vanish/>
          <w:sz w:val="18"/>
          <w:szCs w:val="20"/>
          <w:lang w:eastAsia="fr-FR"/>
        </w:rPr>
        <w:t xml:space="preserve">En effet, céder son immobilier d'exploitation pour en devenir locataire (cession-bail ou sale-and-lease back) est aujourd'hui une pratique courante dans des secteurs comme la restauration de chaîne, la distribution, la logistique, l'hôtellerie ou les maisons de retraite. </w:t>
      </w:r>
      <w:r w:rsidRPr="009E3B3E">
        <w:rPr>
          <w:rFonts w:ascii="Times New Roman" w:eastAsia="Times New Roman" w:hAnsi="Times New Roman" w:cs="Times New Roman"/>
          <w:vanish/>
          <w:sz w:val="18"/>
          <w:szCs w:val="20"/>
          <w:lang w:eastAsia="fr-FR"/>
        </w:rPr>
        <w:br/>
        <w:t xml:space="preserve">Mais les externalisations de murs industriels comme celles réalisées par Thales ou France Telecom il y a quelques années, sont plus rares. Et pourtant, développer et entretenir un parc immobilier nécessite des compétences souvent très éloignées du core business de l'entreprise. </w:t>
      </w:r>
      <w:r w:rsidRPr="009E3B3E">
        <w:rPr>
          <w:rFonts w:ascii="Times New Roman" w:eastAsia="Times New Roman" w:hAnsi="Times New Roman" w:cs="Times New Roman"/>
          <w:vanish/>
          <w:sz w:val="18"/>
          <w:szCs w:val="20"/>
          <w:lang w:eastAsia="fr-FR"/>
        </w:rPr>
        <w:br/>
        <w:t xml:space="preserve">En outre, l'externalisation présente des avantages financiers particulièrement appréciables en cette période de crise, notamment pour les entreprises se retrouvant face au mur de la dette. </w:t>
      </w:r>
    </w:p>
    <w:p w:rsidR="009E3B3E" w:rsidRPr="004E5845" w:rsidRDefault="00111584" w:rsidP="009E3B3E">
      <w:pPr>
        <w:numPr>
          <w:ilvl w:val="0"/>
          <w:numId w:val="4"/>
        </w:numPr>
        <w:spacing w:before="100" w:beforeAutospacing="1" w:after="100" w:afterAutospacing="1" w:line="240" w:lineRule="auto"/>
        <w:rPr>
          <w:rFonts w:ascii="Times New Roman" w:eastAsia="Times New Roman" w:hAnsi="Times New Roman" w:cs="Times New Roman"/>
          <w:sz w:val="18"/>
          <w:szCs w:val="20"/>
          <w:lang w:eastAsia="fr-FR"/>
        </w:rPr>
      </w:pPr>
      <w:hyperlink r:id="rId7" w:history="1">
        <w:r w:rsidR="009E3B3E" w:rsidRPr="004E5845">
          <w:rPr>
            <w:rFonts w:ascii="Times New Roman" w:eastAsia="Times New Roman" w:hAnsi="Times New Roman" w:cs="Times New Roman"/>
            <w:b/>
            <w:bCs/>
            <w:sz w:val="18"/>
            <w:szCs w:val="20"/>
            <w:lang w:eastAsia="fr-FR"/>
          </w:rPr>
          <w:t xml:space="preserve">Quels sont les avantages d'une </w:t>
        </w:r>
        <w:proofErr w:type="spellStart"/>
        <w:r w:rsidR="009E3B3E" w:rsidRPr="004E5845">
          <w:rPr>
            <w:rFonts w:ascii="Times New Roman" w:eastAsia="Times New Roman" w:hAnsi="Times New Roman" w:cs="Times New Roman"/>
            <w:b/>
            <w:bCs/>
            <w:sz w:val="18"/>
            <w:szCs w:val="20"/>
            <w:lang w:eastAsia="fr-FR"/>
          </w:rPr>
          <w:t>cession-bail</w:t>
        </w:r>
        <w:proofErr w:type="spellEnd"/>
        <w:r w:rsidR="009E3B3E" w:rsidRPr="004E5845">
          <w:rPr>
            <w:rFonts w:ascii="Times New Roman" w:eastAsia="Times New Roman" w:hAnsi="Times New Roman" w:cs="Times New Roman"/>
            <w:b/>
            <w:bCs/>
            <w:sz w:val="18"/>
            <w:szCs w:val="20"/>
            <w:lang w:eastAsia="fr-FR"/>
          </w:rPr>
          <w:t xml:space="preserve"> ?</w:t>
        </w:r>
      </w:hyperlink>
    </w:p>
    <w:p w:rsidR="003840AC" w:rsidRPr="003840AC" w:rsidRDefault="003840AC" w:rsidP="003840AC">
      <w:pPr>
        <w:spacing w:before="100" w:beforeAutospacing="1" w:after="100" w:afterAutospacing="1" w:line="240" w:lineRule="auto"/>
        <w:ind w:left="720"/>
        <w:rPr>
          <w:rFonts w:ascii="Times New Roman" w:eastAsia="Times New Roman" w:hAnsi="Times New Roman" w:cs="Times New Roman"/>
          <w:sz w:val="18"/>
          <w:szCs w:val="20"/>
          <w:lang w:eastAsia="fr-FR"/>
        </w:rPr>
      </w:pPr>
      <w:proofErr w:type="gramStart"/>
      <w:r w:rsidRPr="004E5845">
        <w:rPr>
          <w:rFonts w:ascii="Times New Roman" w:eastAsia="Times New Roman" w:hAnsi="Times New Roman" w:cs="Times New Roman"/>
          <w:b/>
          <w:bCs/>
          <w:sz w:val="18"/>
          <w:szCs w:val="20"/>
          <w:lang w:eastAsia="fr-FR"/>
        </w:rPr>
        <w:t>un</w:t>
      </w:r>
      <w:proofErr w:type="gramEnd"/>
      <w:r w:rsidRPr="004E5845">
        <w:rPr>
          <w:rFonts w:ascii="Times New Roman" w:eastAsia="Times New Roman" w:hAnsi="Times New Roman" w:cs="Times New Roman"/>
          <w:b/>
          <w:bCs/>
          <w:sz w:val="18"/>
          <w:szCs w:val="20"/>
          <w:lang w:eastAsia="fr-FR"/>
        </w:rPr>
        <w:t xml:space="preserve"> désendettement ou l'opportunité d'allouer son endettement à des activités à plus forte valeur ajoutée pour l'entreprise</w:t>
      </w:r>
      <w:r w:rsidRPr="003840AC">
        <w:rPr>
          <w:rFonts w:ascii="Times New Roman" w:eastAsia="Times New Roman" w:hAnsi="Times New Roman" w:cs="Times New Roman"/>
          <w:sz w:val="18"/>
          <w:szCs w:val="20"/>
          <w:lang w:eastAsia="fr-FR"/>
        </w:rPr>
        <w:t xml:space="preserve"> ; en effet une </w:t>
      </w:r>
      <w:proofErr w:type="spellStart"/>
      <w:r w:rsidRPr="003840AC">
        <w:rPr>
          <w:rFonts w:ascii="Times New Roman" w:eastAsia="Times New Roman" w:hAnsi="Times New Roman" w:cs="Times New Roman"/>
          <w:sz w:val="18"/>
          <w:szCs w:val="20"/>
          <w:lang w:eastAsia="fr-FR"/>
        </w:rPr>
        <w:t>cession-bail</w:t>
      </w:r>
      <w:proofErr w:type="spellEnd"/>
      <w:r w:rsidRPr="003840AC">
        <w:rPr>
          <w:rFonts w:ascii="Times New Roman" w:eastAsia="Times New Roman" w:hAnsi="Times New Roman" w:cs="Times New Roman"/>
          <w:sz w:val="18"/>
          <w:szCs w:val="20"/>
          <w:lang w:eastAsia="fr-FR"/>
        </w:rPr>
        <w:t xml:space="preserve"> permet d'échanger une immobilisation contre du cash. Egalement le financement par crédit-bail d'un actif immobilier, auprès d'un établissement financier, permet d'accéder plus facilement au crédit.</w:t>
      </w:r>
      <w:r w:rsidRPr="003840AC">
        <w:rPr>
          <w:rFonts w:ascii="Times New Roman" w:eastAsia="Times New Roman" w:hAnsi="Times New Roman" w:cs="Times New Roman"/>
          <w:sz w:val="18"/>
          <w:szCs w:val="20"/>
          <w:lang w:eastAsia="fr-FR"/>
        </w:rPr>
        <w:br/>
        <w:t xml:space="preserve">Un autre intérêt financier et non le moindre : </w:t>
      </w:r>
      <w:r w:rsidRPr="00424905">
        <w:rPr>
          <w:rFonts w:ascii="Times New Roman" w:eastAsia="Times New Roman" w:hAnsi="Times New Roman" w:cs="Times New Roman"/>
          <w:sz w:val="18"/>
          <w:szCs w:val="20"/>
          <w:highlight w:val="yellow"/>
          <w:lang w:eastAsia="fr-FR"/>
        </w:rPr>
        <w:t>si la cession dégage une importante plus-value, celle-ci peut permettre d'absorber plus rapidement des déficits fiscaux générés par l'activité</w:t>
      </w:r>
      <w:r w:rsidRPr="003840AC">
        <w:rPr>
          <w:rFonts w:ascii="Times New Roman" w:eastAsia="Times New Roman" w:hAnsi="Times New Roman" w:cs="Times New Roman"/>
          <w:sz w:val="18"/>
          <w:szCs w:val="20"/>
          <w:lang w:eastAsia="fr-FR"/>
        </w:rPr>
        <w:t>.</w:t>
      </w:r>
    </w:p>
    <w:p w:rsidR="003840AC" w:rsidRPr="003840AC" w:rsidRDefault="003840AC" w:rsidP="003840AC">
      <w:pPr>
        <w:numPr>
          <w:ilvl w:val="0"/>
          <w:numId w:val="4"/>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une source de disponibilité de ressources humaines</w:t>
      </w:r>
      <w:r w:rsidRPr="003840AC">
        <w:rPr>
          <w:rFonts w:ascii="Times New Roman" w:eastAsia="Times New Roman" w:hAnsi="Times New Roman" w:cs="Times New Roman"/>
          <w:sz w:val="18"/>
          <w:szCs w:val="20"/>
          <w:lang w:eastAsia="fr-FR"/>
        </w:rPr>
        <w:t xml:space="preserve"> offrant la possibilité de les recentrer sur le </w:t>
      </w:r>
      <w:proofErr w:type="spellStart"/>
      <w:r w:rsidRPr="003840AC">
        <w:rPr>
          <w:rFonts w:ascii="Times New Roman" w:eastAsia="Times New Roman" w:hAnsi="Times New Roman" w:cs="Times New Roman"/>
          <w:sz w:val="18"/>
          <w:szCs w:val="20"/>
          <w:lang w:eastAsia="fr-FR"/>
        </w:rPr>
        <w:t>core</w:t>
      </w:r>
      <w:proofErr w:type="spellEnd"/>
      <w:r w:rsidRPr="003840AC">
        <w:rPr>
          <w:rFonts w:ascii="Times New Roman" w:eastAsia="Times New Roman" w:hAnsi="Times New Roman" w:cs="Times New Roman"/>
          <w:sz w:val="18"/>
          <w:szCs w:val="20"/>
          <w:lang w:eastAsia="fr-FR"/>
        </w:rPr>
        <w:t xml:space="preserve"> business de l'entreprise. Néanmoins si les gains en terme de ressources peuvent être importants, être locataire nécessite une interface régulière entre les besoins des opérationnels et le nouveau propriétaire.</w:t>
      </w:r>
    </w:p>
    <w:p w:rsidR="003840AC" w:rsidRPr="003840AC" w:rsidRDefault="003840AC" w:rsidP="003840AC">
      <w:pPr>
        <w:numPr>
          <w:ilvl w:val="0"/>
          <w:numId w:val="4"/>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et un transfert de la responsabilité et des coûts de remise en état</w:t>
      </w:r>
      <w:r w:rsidRPr="003840AC">
        <w:rPr>
          <w:rFonts w:ascii="Times New Roman" w:eastAsia="Times New Roman" w:hAnsi="Times New Roman" w:cs="Times New Roman"/>
          <w:sz w:val="18"/>
          <w:szCs w:val="20"/>
          <w:lang w:eastAsia="fr-FR"/>
        </w:rPr>
        <w:t xml:space="preserve"> de son patrimoine immobilier, notamment au regard des normes environnementales.</w:t>
      </w:r>
    </w:p>
    <w:p w:rsidR="003840AC" w:rsidRPr="009E3B3E" w:rsidRDefault="003840AC" w:rsidP="003840AC">
      <w:pPr>
        <w:spacing w:before="100" w:beforeAutospacing="1" w:after="100" w:afterAutospacing="1" w:line="240" w:lineRule="auto"/>
        <w:ind w:left="720"/>
        <w:rPr>
          <w:rFonts w:ascii="Times New Roman" w:eastAsia="Times New Roman" w:hAnsi="Times New Roman" w:cs="Times New Roman"/>
          <w:sz w:val="18"/>
          <w:szCs w:val="20"/>
          <w:lang w:eastAsia="fr-FR"/>
        </w:rPr>
      </w:pPr>
    </w:p>
    <w:p w:rsidR="009E3B3E" w:rsidRPr="009E3B3E" w:rsidRDefault="009E3B3E" w:rsidP="009E3B3E">
      <w:pPr>
        <w:spacing w:before="100" w:beforeAutospacing="1" w:after="100" w:afterAutospacing="1" w:line="240" w:lineRule="auto"/>
        <w:rPr>
          <w:rFonts w:ascii="Times New Roman" w:eastAsia="Times New Roman" w:hAnsi="Times New Roman" w:cs="Times New Roman"/>
          <w:vanish/>
          <w:sz w:val="18"/>
          <w:szCs w:val="20"/>
          <w:lang w:eastAsia="fr-FR"/>
        </w:rPr>
      </w:pPr>
      <w:r w:rsidRPr="009E3B3E">
        <w:rPr>
          <w:rFonts w:ascii="Times New Roman" w:eastAsia="Times New Roman" w:hAnsi="Times New Roman" w:cs="Times New Roman"/>
          <w:vanish/>
          <w:sz w:val="18"/>
          <w:szCs w:val="20"/>
          <w:lang w:eastAsia="fr-FR"/>
        </w:rPr>
        <w:t>Confier la mise en valeur et l'entretien d'un parc immobilier à un tiers présente trois avantages particulièrement attractifs. Jugez-en par vous-même !</w:t>
      </w:r>
    </w:p>
    <w:p w:rsidR="009E3B3E" w:rsidRPr="009E3B3E" w:rsidRDefault="009E3B3E" w:rsidP="009E3B3E">
      <w:pPr>
        <w:numPr>
          <w:ilvl w:val="0"/>
          <w:numId w:val="5"/>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un désendettement ou l'opportunité d'allouer son endettement à des activités à plus forte valeur ajoutée pour l'entreprise</w:t>
      </w:r>
      <w:r w:rsidRPr="009E3B3E">
        <w:rPr>
          <w:rFonts w:ascii="Times New Roman" w:eastAsia="Times New Roman" w:hAnsi="Times New Roman" w:cs="Times New Roman"/>
          <w:vanish/>
          <w:sz w:val="18"/>
          <w:szCs w:val="20"/>
          <w:lang w:eastAsia="fr-FR"/>
        </w:rPr>
        <w:t xml:space="preserve"> ; en effet une cession-bail permet d'échanger une immobilisation contre du cash. Egalement le financement par crédit-bail d'un actif immobilier, auprès d'un établissement financier, permet d'accéder plus facilement au crédit.</w:t>
      </w:r>
      <w:r w:rsidRPr="009E3B3E">
        <w:rPr>
          <w:rFonts w:ascii="Times New Roman" w:eastAsia="Times New Roman" w:hAnsi="Times New Roman" w:cs="Times New Roman"/>
          <w:vanish/>
          <w:sz w:val="18"/>
          <w:szCs w:val="20"/>
          <w:lang w:eastAsia="fr-FR"/>
        </w:rPr>
        <w:br/>
        <w:t>Un autre intérêt financier et non le moindre : si la cession dégage une importante plus-value, celle-ci peut permettre d'absorber plus rapidement des déficits fiscaux générés par l'activité.</w:t>
      </w:r>
    </w:p>
    <w:p w:rsidR="009E3B3E" w:rsidRPr="009E3B3E" w:rsidRDefault="009E3B3E" w:rsidP="009E3B3E">
      <w:pPr>
        <w:numPr>
          <w:ilvl w:val="0"/>
          <w:numId w:val="5"/>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une source de disponibilité de ressources humaines</w:t>
      </w:r>
      <w:r w:rsidRPr="009E3B3E">
        <w:rPr>
          <w:rFonts w:ascii="Times New Roman" w:eastAsia="Times New Roman" w:hAnsi="Times New Roman" w:cs="Times New Roman"/>
          <w:vanish/>
          <w:sz w:val="18"/>
          <w:szCs w:val="20"/>
          <w:lang w:eastAsia="fr-FR"/>
        </w:rPr>
        <w:t xml:space="preserve"> offrant la possibilité de les recentrer sur le core business de l'entreprise. Néanmoins si les gains en terme de ressources peuvent être importants, être locataire nécessite une interface régulière entre les besoins des opérationnels et le nouveau propriétaire.</w:t>
      </w:r>
    </w:p>
    <w:p w:rsidR="009E3B3E" w:rsidRPr="009E3B3E" w:rsidRDefault="009E3B3E" w:rsidP="009E3B3E">
      <w:pPr>
        <w:numPr>
          <w:ilvl w:val="0"/>
          <w:numId w:val="5"/>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et un transfert de la responsabilité et des coûts de remise en état</w:t>
      </w:r>
      <w:r w:rsidRPr="009E3B3E">
        <w:rPr>
          <w:rFonts w:ascii="Times New Roman" w:eastAsia="Times New Roman" w:hAnsi="Times New Roman" w:cs="Times New Roman"/>
          <w:vanish/>
          <w:sz w:val="18"/>
          <w:szCs w:val="20"/>
          <w:lang w:eastAsia="fr-FR"/>
        </w:rPr>
        <w:t xml:space="preserve"> de son patrimoine immobilier, notamment au regard des normes environnementales.</w:t>
      </w:r>
    </w:p>
    <w:p w:rsidR="009E3B3E" w:rsidRPr="004E5845" w:rsidRDefault="00111584" w:rsidP="009E3B3E">
      <w:pPr>
        <w:numPr>
          <w:ilvl w:val="0"/>
          <w:numId w:val="6"/>
        </w:numPr>
        <w:spacing w:before="100" w:beforeAutospacing="1" w:after="100" w:afterAutospacing="1" w:line="240" w:lineRule="auto"/>
        <w:rPr>
          <w:rFonts w:ascii="Times New Roman" w:eastAsia="Times New Roman" w:hAnsi="Times New Roman" w:cs="Times New Roman"/>
          <w:sz w:val="18"/>
          <w:szCs w:val="20"/>
          <w:lang w:eastAsia="fr-FR"/>
        </w:rPr>
      </w:pPr>
      <w:hyperlink r:id="rId8" w:history="1">
        <w:r w:rsidR="009E3B3E" w:rsidRPr="004E5845">
          <w:rPr>
            <w:rFonts w:ascii="Times New Roman" w:eastAsia="Times New Roman" w:hAnsi="Times New Roman" w:cs="Times New Roman"/>
            <w:b/>
            <w:bCs/>
            <w:color w:val="0000FF"/>
            <w:sz w:val="18"/>
            <w:szCs w:val="20"/>
            <w:u w:val="single"/>
            <w:lang w:eastAsia="fr-FR"/>
          </w:rPr>
          <w:t>Quelles opportunités fiscales ?</w:t>
        </w:r>
      </w:hyperlink>
    </w:p>
    <w:p w:rsidR="003840AC" w:rsidRPr="004E5845" w:rsidRDefault="003840AC" w:rsidP="003840AC">
      <w:pPr>
        <w:pStyle w:val="Paragraphedeliste"/>
        <w:numPr>
          <w:ilvl w:val="0"/>
          <w:numId w:val="6"/>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sz w:val="18"/>
          <w:szCs w:val="20"/>
          <w:lang w:eastAsia="fr-FR"/>
        </w:rPr>
        <w:t xml:space="preserve">Les redevances de </w:t>
      </w:r>
      <w:r w:rsidRPr="00424905">
        <w:rPr>
          <w:rFonts w:ascii="Times New Roman" w:eastAsia="Times New Roman" w:hAnsi="Times New Roman" w:cs="Times New Roman"/>
          <w:sz w:val="18"/>
          <w:szCs w:val="20"/>
          <w:highlight w:val="yellow"/>
          <w:lang w:eastAsia="fr-FR"/>
        </w:rPr>
        <w:t>crédit-bail</w:t>
      </w:r>
      <w:r w:rsidRPr="004E5845">
        <w:rPr>
          <w:rFonts w:ascii="Times New Roman" w:eastAsia="Times New Roman" w:hAnsi="Times New Roman" w:cs="Times New Roman"/>
          <w:sz w:val="18"/>
          <w:szCs w:val="20"/>
          <w:lang w:eastAsia="fr-FR"/>
        </w:rPr>
        <w:t xml:space="preserve"> sont déductibles à l'exception de la quote-part représentant le terrain. Depuis avril 2009, la </w:t>
      </w:r>
      <w:r w:rsidRPr="00424905">
        <w:rPr>
          <w:rFonts w:ascii="Times New Roman" w:eastAsia="Times New Roman" w:hAnsi="Times New Roman" w:cs="Times New Roman"/>
          <w:sz w:val="18"/>
          <w:szCs w:val="20"/>
          <w:highlight w:val="yellow"/>
          <w:lang w:eastAsia="fr-FR"/>
        </w:rPr>
        <w:t>plus-value</w:t>
      </w:r>
      <w:r w:rsidRPr="004E5845">
        <w:rPr>
          <w:rFonts w:ascii="Times New Roman" w:eastAsia="Times New Roman" w:hAnsi="Times New Roman" w:cs="Times New Roman"/>
          <w:sz w:val="18"/>
          <w:szCs w:val="20"/>
          <w:lang w:eastAsia="fr-FR"/>
        </w:rPr>
        <w:t xml:space="preserve"> dégagée par une entreprise dans ce contexte peut être </w:t>
      </w:r>
      <w:r w:rsidRPr="00424905">
        <w:rPr>
          <w:rFonts w:ascii="Times New Roman" w:eastAsia="Times New Roman" w:hAnsi="Times New Roman" w:cs="Times New Roman"/>
          <w:sz w:val="18"/>
          <w:szCs w:val="20"/>
          <w:highlight w:val="yellow"/>
          <w:lang w:eastAsia="fr-FR"/>
        </w:rPr>
        <w:t>fiscalement étalée</w:t>
      </w:r>
      <w:r w:rsidRPr="004E5845">
        <w:rPr>
          <w:rFonts w:ascii="Times New Roman" w:eastAsia="Times New Roman" w:hAnsi="Times New Roman" w:cs="Times New Roman"/>
          <w:sz w:val="18"/>
          <w:szCs w:val="20"/>
          <w:lang w:eastAsia="fr-FR"/>
        </w:rPr>
        <w:t xml:space="preserve"> sur la durée du contrat de crédit-bail, sans excéder </w:t>
      </w:r>
      <w:r w:rsidRPr="00424905">
        <w:rPr>
          <w:rFonts w:ascii="Times New Roman" w:eastAsia="Times New Roman" w:hAnsi="Times New Roman" w:cs="Times New Roman"/>
          <w:sz w:val="18"/>
          <w:szCs w:val="20"/>
          <w:highlight w:val="yellow"/>
          <w:lang w:eastAsia="fr-FR"/>
        </w:rPr>
        <w:t>15 ans</w:t>
      </w:r>
      <w:r w:rsidRPr="004E5845">
        <w:rPr>
          <w:rFonts w:ascii="Times New Roman" w:eastAsia="Times New Roman" w:hAnsi="Times New Roman" w:cs="Times New Roman"/>
          <w:sz w:val="18"/>
          <w:szCs w:val="20"/>
          <w:lang w:eastAsia="fr-FR"/>
        </w:rPr>
        <w:t xml:space="preserve"> ; en revanche, cette plus-value n'est pas distribuable.</w:t>
      </w:r>
    </w:p>
    <w:p w:rsidR="003840AC" w:rsidRPr="004E5845" w:rsidRDefault="003840AC" w:rsidP="003840AC">
      <w:pPr>
        <w:pStyle w:val="Paragraphedeliste"/>
        <w:numPr>
          <w:ilvl w:val="0"/>
          <w:numId w:val="6"/>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sz w:val="18"/>
          <w:szCs w:val="20"/>
          <w:lang w:eastAsia="fr-FR"/>
        </w:rPr>
        <w:t xml:space="preserve">L'imposition de la plus-value de cession a longtemps été un frein à la </w:t>
      </w:r>
      <w:proofErr w:type="spellStart"/>
      <w:r w:rsidRPr="004E5845">
        <w:rPr>
          <w:rFonts w:ascii="Times New Roman" w:eastAsia="Times New Roman" w:hAnsi="Times New Roman" w:cs="Times New Roman"/>
          <w:sz w:val="18"/>
          <w:szCs w:val="20"/>
          <w:lang w:eastAsia="fr-FR"/>
        </w:rPr>
        <w:t>cession-bail</w:t>
      </w:r>
      <w:proofErr w:type="spellEnd"/>
      <w:r w:rsidRPr="004E5845">
        <w:rPr>
          <w:rFonts w:ascii="Times New Roman" w:eastAsia="Times New Roman" w:hAnsi="Times New Roman" w:cs="Times New Roman"/>
          <w:sz w:val="18"/>
          <w:szCs w:val="20"/>
          <w:lang w:eastAsia="fr-FR"/>
        </w:rPr>
        <w:t xml:space="preserve">. Ceci n'est plus vrai depuis que le code général des impôts permet une </w:t>
      </w:r>
      <w:r w:rsidRPr="00424905">
        <w:rPr>
          <w:rFonts w:ascii="Times New Roman" w:eastAsia="Times New Roman" w:hAnsi="Times New Roman" w:cs="Times New Roman"/>
          <w:sz w:val="18"/>
          <w:szCs w:val="20"/>
          <w:highlight w:val="yellow"/>
          <w:lang w:eastAsia="fr-FR"/>
        </w:rPr>
        <w:t>imposition réduite à 19%</w:t>
      </w:r>
      <w:r w:rsidRPr="004E5845">
        <w:rPr>
          <w:rFonts w:ascii="Times New Roman" w:eastAsia="Times New Roman" w:hAnsi="Times New Roman" w:cs="Times New Roman"/>
          <w:sz w:val="18"/>
          <w:szCs w:val="20"/>
          <w:lang w:eastAsia="fr-FR"/>
        </w:rPr>
        <w:t xml:space="preserve"> sur la plus-value si la cession est faite à une </w:t>
      </w:r>
      <w:r w:rsidRPr="00424905">
        <w:rPr>
          <w:rFonts w:ascii="Times New Roman" w:eastAsia="Times New Roman" w:hAnsi="Times New Roman" w:cs="Times New Roman"/>
          <w:sz w:val="18"/>
          <w:szCs w:val="20"/>
          <w:highlight w:val="yellow"/>
          <w:lang w:eastAsia="fr-FR"/>
        </w:rPr>
        <w:t>SIIC</w:t>
      </w:r>
      <w:r w:rsidRPr="004E5845">
        <w:rPr>
          <w:rFonts w:ascii="Times New Roman" w:eastAsia="Times New Roman" w:hAnsi="Times New Roman" w:cs="Times New Roman"/>
          <w:sz w:val="18"/>
          <w:szCs w:val="20"/>
          <w:lang w:eastAsia="fr-FR"/>
        </w:rPr>
        <w:t xml:space="preserve">, à un Organisme de Placement Collectif Immobilier (OPCI) sous forme de </w:t>
      </w:r>
      <w:r w:rsidRPr="00424905">
        <w:rPr>
          <w:rFonts w:ascii="Times New Roman" w:eastAsia="Times New Roman" w:hAnsi="Times New Roman" w:cs="Times New Roman"/>
          <w:sz w:val="18"/>
          <w:szCs w:val="20"/>
          <w:highlight w:val="yellow"/>
          <w:lang w:eastAsia="fr-FR"/>
        </w:rPr>
        <w:t>SPPICAV</w:t>
      </w:r>
      <w:r w:rsidRPr="004E5845">
        <w:rPr>
          <w:rFonts w:ascii="Times New Roman" w:eastAsia="Times New Roman" w:hAnsi="Times New Roman" w:cs="Times New Roman"/>
          <w:sz w:val="18"/>
          <w:szCs w:val="20"/>
          <w:lang w:eastAsia="fr-FR"/>
        </w:rPr>
        <w:t xml:space="preserve"> ou à une </w:t>
      </w:r>
      <w:r w:rsidRPr="00424905">
        <w:rPr>
          <w:rFonts w:ascii="Times New Roman" w:eastAsia="Times New Roman" w:hAnsi="Times New Roman" w:cs="Times New Roman"/>
          <w:sz w:val="18"/>
          <w:szCs w:val="20"/>
          <w:highlight w:val="yellow"/>
          <w:lang w:eastAsia="fr-FR"/>
        </w:rPr>
        <w:t>SCPI</w:t>
      </w:r>
      <w:r w:rsidRPr="004E5845">
        <w:rPr>
          <w:rFonts w:ascii="Times New Roman" w:eastAsia="Times New Roman" w:hAnsi="Times New Roman" w:cs="Times New Roman"/>
          <w:sz w:val="18"/>
          <w:szCs w:val="20"/>
          <w:lang w:eastAsia="fr-FR"/>
        </w:rPr>
        <w:t xml:space="preserve">. Peuvent être </w:t>
      </w:r>
      <w:r w:rsidRPr="004E5845">
        <w:rPr>
          <w:rFonts w:ascii="Times New Roman" w:eastAsia="Times New Roman" w:hAnsi="Times New Roman" w:cs="Times New Roman"/>
          <w:sz w:val="18"/>
          <w:szCs w:val="20"/>
          <w:lang w:eastAsia="fr-FR"/>
        </w:rPr>
        <w:lastRenderedPageBreak/>
        <w:t xml:space="preserve">cédés sous ce régime de faveur non seulement les actifs mais également, sous certaines conditions, les titres de sociétés à prépondérance immobilière et les droits afférents à un contrat de crédit-bail, à un usufruit ou à un bail à construction. </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vanish/>
          <w:sz w:val="18"/>
          <w:szCs w:val="20"/>
          <w:lang w:eastAsia="fr-FR"/>
        </w:rPr>
      </w:pPr>
      <w:r w:rsidRPr="009E3B3E">
        <w:rPr>
          <w:rFonts w:ascii="Times New Roman" w:eastAsia="Times New Roman" w:hAnsi="Times New Roman" w:cs="Times New Roman"/>
          <w:vanish/>
          <w:sz w:val="18"/>
          <w:szCs w:val="20"/>
          <w:lang w:eastAsia="fr-FR"/>
        </w:rPr>
        <w:t>Les redevances de crédit-bail sont déductibles à l'exception de la quote-part représentant le terrain. Depuis avril 2009, la plus-value dégagée par une entreprise dans ce contexte peut être fiscalement étalée sur la durée du contrat de crédit-bail, sans excéder 15 ans ; en revanche, cette plus-value n'est pas distribuable.</w:t>
      </w:r>
    </w:p>
    <w:p w:rsidR="009E3B3E" w:rsidRPr="009E3B3E" w:rsidRDefault="009E3B3E" w:rsidP="009E3B3E">
      <w:pPr>
        <w:spacing w:before="100" w:beforeAutospacing="1" w:after="100" w:afterAutospacing="1" w:line="240" w:lineRule="auto"/>
        <w:rPr>
          <w:rFonts w:ascii="Times New Roman" w:eastAsia="Times New Roman" w:hAnsi="Times New Roman" w:cs="Times New Roman"/>
          <w:vanish/>
          <w:sz w:val="18"/>
          <w:szCs w:val="20"/>
          <w:lang w:eastAsia="fr-FR"/>
        </w:rPr>
      </w:pPr>
      <w:r w:rsidRPr="009E3B3E">
        <w:rPr>
          <w:rFonts w:ascii="Times New Roman" w:eastAsia="Times New Roman" w:hAnsi="Times New Roman" w:cs="Times New Roman"/>
          <w:vanish/>
          <w:sz w:val="18"/>
          <w:szCs w:val="20"/>
          <w:lang w:eastAsia="fr-FR"/>
        </w:rPr>
        <w:t xml:space="preserve">L'imposition de la plus-value de cession a longtemps été un frein à la cession-bail. Ceci n'est plus vrai depuis que le code général des impôts permet une imposition réduite à 19% sur la plus-value si la cession est faite à une SIIC, à un Organisme de Placement Collectif Immobilier (OPCI) sous forme de SPPICAV ou à une SCPI. Peuvent être cédés sous ce régime de faveur non seulement les actifs mais également, sous certaines conditions, les titres de sociétés à prépondérance immobilière et les droits afférents à un contrat de crédit-bail, à un usufruit ou à un bail à construction. </w:t>
      </w:r>
    </w:p>
    <w:p w:rsidR="009E3B3E" w:rsidRPr="004E5845" w:rsidRDefault="00111584" w:rsidP="009E3B3E">
      <w:pPr>
        <w:numPr>
          <w:ilvl w:val="0"/>
          <w:numId w:val="7"/>
        </w:numPr>
        <w:spacing w:before="100" w:beforeAutospacing="1" w:after="100" w:afterAutospacing="1" w:line="240" w:lineRule="auto"/>
        <w:rPr>
          <w:rFonts w:ascii="Times New Roman" w:eastAsia="Times New Roman" w:hAnsi="Times New Roman" w:cs="Times New Roman"/>
          <w:sz w:val="18"/>
          <w:szCs w:val="20"/>
          <w:lang w:eastAsia="fr-FR"/>
        </w:rPr>
      </w:pPr>
      <w:hyperlink r:id="rId9" w:history="1">
        <w:r w:rsidR="009E3B3E" w:rsidRPr="004E5845">
          <w:rPr>
            <w:rFonts w:ascii="Times New Roman" w:eastAsia="Times New Roman" w:hAnsi="Times New Roman" w:cs="Times New Roman"/>
            <w:b/>
            <w:bCs/>
            <w:color w:val="0000FF"/>
            <w:sz w:val="18"/>
            <w:szCs w:val="20"/>
            <w:u w:val="single"/>
            <w:lang w:eastAsia="fr-FR"/>
          </w:rPr>
          <w:t>Mais en contrepartie de quelles contraintes ?</w:t>
        </w:r>
      </w:hyperlink>
    </w:p>
    <w:p w:rsidR="003840AC" w:rsidRPr="003840AC" w:rsidRDefault="001828A9" w:rsidP="003840AC">
      <w:p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sz w:val="18"/>
          <w:szCs w:val="20"/>
          <w:lang w:eastAsia="fr-FR"/>
        </w:rPr>
        <w:t>U</w:t>
      </w:r>
      <w:r w:rsidR="003840AC" w:rsidRPr="003840AC">
        <w:rPr>
          <w:rFonts w:ascii="Times New Roman" w:eastAsia="Times New Roman" w:hAnsi="Times New Roman" w:cs="Times New Roman"/>
          <w:sz w:val="18"/>
          <w:szCs w:val="20"/>
          <w:lang w:eastAsia="fr-FR"/>
        </w:rPr>
        <w:t xml:space="preserve">n certain nombre de conditions sont à considérer avant la décision de réaliser une opération de </w:t>
      </w:r>
      <w:proofErr w:type="spellStart"/>
      <w:r w:rsidR="003840AC" w:rsidRPr="003840AC">
        <w:rPr>
          <w:rFonts w:ascii="Times New Roman" w:eastAsia="Times New Roman" w:hAnsi="Times New Roman" w:cs="Times New Roman"/>
          <w:sz w:val="18"/>
          <w:szCs w:val="20"/>
          <w:lang w:eastAsia="fr-FR"/>
        </w:rPr>
        <w:t>cession-bail</w:t>
      </w:r>
      <w:proofErr w:type="spellEnd"/>
      <w:r w:rsidR="003840AC" w:rsidRPr="003840AC">
        <w:rPr>
          <w:rFonts w:ascii="Times New Roman" w:eastAsia="Times New Roman" w:hAnsi="Times New Roman" w:cs="Times New Roman"/>
          <w:sz w:val="18"/>
          <w:szCs w:val="20"/>
          <w:lang w:eastAsia="fr-FR"/>
        </w:rPr>
        <w:t xml:space="preserve"> :</w:t>
      </w:r>
    </w:p>
    <w:p w:rsidR="003840AC" w:rsidRPr="003840AC" w:rsidRDefault="003840AC" w:rsidP="003840AC">
      <w:pPr>
        <w:numPr>
          <w:ilvl w:val="0"/>
          <w:numId w:val="11"/>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L'adéquation des caractéristiques du bien immobilier avec les attentes des investisseurs sur sa liquidité et son rendement</w:t>
      </w:r>
      <w:r w:rsidRPr="003840AC">
        <w:rPr>
          <w:rFonts w:ascii="Times New Roman" w:eastAsia="Times New Roman" w:hAnsi="Times New Roman" w:cs="Times New Roman"/>
          <w:sz w:val="18"/>
          <w:szCs w:val="20"/>
          <w:lang w:eastAsia="fr-FR"/>
        </w:rPr>
        <w:t xml:space="preserve"> </w:t>
      </w:r>
      <w:r w:rsidRPr="003840AC">
        <w:rPr>
          <w:rFonts w:ascii="Times New Roman" w:eastAsia="Times New Roman" w:hAnsi="Times New Roman" w:cs="Times New Roman"/>
          <w:sz w:val="18"/>
          <w:szCs w:val="20"/>
          <w:lang w:eastAsia="fr-FR"/>
        </w:rPr>
        <w:br/>
        <w:t>Sale-and-</w:t>
      </w:r>
      <w:proofErr w:type="spellStart"/>
      <w:r w:rsidRPr="003840AC">
        <w:rPr>
          <w:rFonts w:ascii="Times New Roman" w:eastAsia="Times New Roman" w:hAnsi="Times New Roman" w:cs="Times New Roman"/>
          <w:sz w:val="18"/>
          <w:szCs w:val="20"/>
          <w:lang w:eastAsia="fr-FR"/>
        </w:rPr>
        <w:t>lease</w:t>
      </w:r>
      <w:proofErr w:type="spellEnd"/>
      <w:r w:rsidRPr="003840AC">
        <w:rPr>
          <w:rFonts w:ascii="Times New Roman" w:eastAsia="Times New Roman" w:hAnsi="Times New Roman" w:cs="Times New Roman"/>
          <w:sz w:val="18"/>
          <w:szCs w:val="20"/>
          <w:lang w:eastAsia="fr-FR"/>
        </w:rPr>
        <w:t xml:space="preserve"> back ne veut pas dire « one size </w:t>
      </w:r>
      <w:proofErr w:type="spellStart"/>
      <w:r w:rsidRPr="003840AC">
        <w:rPr>
          <w:rFonts w:ascii="Times New Roman" w:eastAsia="Times New Roman" w:hAnsi="Times New Roman" w:cs="Times New Roman"/>
          <w:sz w:val="18"/>
          <w:szCs w:val="20"/>
          <w:lang w:eastAsia="fr-FR"/>
        </w:rPr>
        <w:t>fits</w:t>
      </w:r>
      <w:proofErr w:type="spellEnd"/>
      <w:r w:rsidRPr="003840AC">
        <w:rPr>
          <w:rFonts w:ascii="Times New Roman" w:eastAsia="Times New Roman" w:hAnsi="Times New Roman" w:cs="Times New Roman"/>
          <w:sz w:val="18"/>
          <w:szCs w:val="20"/>
          <w:lang w:eastAsia="fr-FR"/>
        </w:rPr>
        <w:t xml:space="preserve"> all ».</w:t>
      </w:r>
      <w:r w:rsidRPr="003840AC">
        <w:rPr>
          <w:rFonts w:ascii="Times New Roman" w:eastAsia="Times New Roman" w:hAnsi="Times New Roman" w:cs="Times New Roman"/>
          <w:sz w:val="18"/>
          <w:szCs w:val="20"/>
          <w:lang w:eastAsia="fr-FR"/>
        </w:rPr>
        <w:br/>
        <w:t xml:space="preserve">Les investisseurs recherchent notamment les </w:t>
      </w:r>
      <w:r w:rsidRPr="00424905">
        <w:rPr>
          <w:rFonts w:ascii="Times New Roman" w:eastAsia="Times New Roman" w:hAnsi="Times New Roman" w:cs="Times New Roman"/>
          <w:sz w:val="18"/>
          <w:szCs w:val="20"/>
          <w:highlight w:val="yellow"/>
          <w:lang w:eastAsia="fr-FR"/>
        </w:rPr>
        <w:t>murs les plus « liquides » possibles</w:t>
      </w:r>
      <w:r w:rsidRPr="003840AC">
        <w:rPr>
          <w:rFonts w:ascii="Times New Roman" w:eastAsia="Times New Roman" w:hAnsi="Times New Roman" w:cs="Times New Roman"/>
          <w:sz w:val="18"/>
          <w:szCs w:val="20"/>
          <w:lang w:eastAsia="fr-FR"/>
        </w:rPr>
        <w:t xml:space="preserve">. Autant dire qu'il est plus facile d'effectuer une </w:t>
      </w:r>
      <w:proofErr w:type="spellStart"/>
      <w:r w:rsidRPr="003840AC">
        <w:rPr>
          <w:rFonts w:ascii="Times New Roman" w:eastAsia="Times New Roman" w:hAnsi="Times New Roman" w:cs="Times New Roman"/>
          <w:sz w:val="18"/>
          <w:szCs w:val="20"/>
          <w:lang w:eastAsia="fr-FR"/>
        </w:rPr>
        <w:t>cession-bail</w:t>
      </w:r>
      <w:proofErr w:type="spellEnd"/>
      <w:r w:rsidRPr="003840AC">
        <w:rPr>
          <w:rFonts w:ascii="Times New Roman" w:eastAsia="Times New Roman" w:hAnsi="Times New Roman" w:cs="Times New Roman"/>
          <w:sz w:val="18"/>
          <w:szCs w:val="20"/>
          <w:lang w:eastAsia="fr-FR"/>
        </w:rPr>
        <w:t xml:space="preserve"> de bureaux de centre-ville ou d'entrepôts situés sur la dorsale Lille-Paris-Lyon-Marseille que de locaux industriels sur le plateau du Larzac. Cela n'a toutefois pas empêché Thales ou les chaînes de restaurants </w:t>
      </w:r>
      <w:proofErr w:type="spellStart"/>
      <w:r w:rsidRPr="003840AC">
        <w:rPr>
          <w:rFonts w:ascii="Times New Roman" w:eastAsia="Times New Roman" w:hAnsi="Times New Roman" w:cs="Times New Roman"/>
          <w:sz w:val="18"/>
          <w:szCs w:val="20"/>
          <w:lang w:eastAsia="fr-FR"/>
        </w:rPr>
        <w:t>Courtepaille</w:t>
      </w:r>
      <w:proofErr w:type="spellEnd"/>
      <w:r w:rsidRPr="003840AC">
        <w:rPr>
          <w:rFonts w:ascii="Times New Roman" w:eastAsia="Times New Roman" w:hAnsi="Times New Roman" w:cs="Times New Roman"/>
          <w:sz w:val="18"/>
          <w:szCs w:val="20"/>
          <w:lang w:eastAsia="fr-FR"/>
        </w:rPr>
        <w:t xml:space="preserve"> ou Buffalo Grill de trouver des acquéreurs, bien que les bâtiments soient pour le moins « typés ».</w:t>
      </w:r>
      <w:r w:rsidRPr="003840AC">
        <w:rPr>
          <w:rFonts w:ascii="Times New Roman" w:eastAsia="Times New Roman" w:hAnsi="Times New Roman" w:cs="Times New Roman"/>
          <w:sz w:val="18"/>
          <w:szCs w:val="20"/>
          <w:lang w:eastAsia="fr-FR"/>
        </w:rPr>
        <w:br/>
        <w:t>Egalement, les investisseurs recherchent un rendement, exprimé par le ratio du loyer net sur le prix payé pour l'actif. Un juste équilibre est à trouver entre le rendement attendu par le marché et la capacité du locataire à faire face à ses engagements, exprimé par son taux d'effort (ratio loyer / chiffre d'affaires du locataire).</w:t>
      </w:r>
      <w:r w:rsidRPr="003840AC">
        <w:rPr>
          <w:rFonts w:ascii="Times New Roman" w:eastAsia="Times New Roman" w:hAnsi="Times New Roman" w:cs="Times New Roman"/>
          <w:sz w:val="18"/>
          <w:szCs w:val="20"/>
          <w:lang w:eastAsia="fr-FR"/>
        </w:rPr>
        <w:br/>
        <w:t xml:space="preserve">De même, un </w:t>
      </w:r>
      <w:r w:rsidRPr="00424905">
        <w:rPr>
          <w:rFonts w:ascii="Times New Roman" w:eastAsia="Times New Roman" w:hAnsi="Times New Roman" w:cs="Times New Roman"/>
          <w:sz w:val="18"/>
          <w:szCs w:val="20"/>
          <w:highlight w:val="yellow"/>
          <w:lang w:eastAsia="fr-FR"/>
        </w:rPr>
        <w:t>engagement locatif de 9 à 12 ans fermes</w:t>
      </w:r>
      <w:r w:rsidRPr="003840AC">
        <w:rPr>
          <w:rFonts w:ascii="Times New Roman" w:eastAsia="Times New Roman" w:hAnsi="Times New Roman" w:cs="Times New Roman"/>
          <w:sz w:val="18"/>
          <w:szCs w:val="20"/>
          <w:lang w:eastAsia="fr-FR"/>
        </w:rPr>
        <w:t xml:space="preserve"> est le plus souvent exigé par les investisseurs. En conséquence, l'entreprise locataire doit être certaine d'avoir besoin d'exploiter les locaux concernés sur une période aussi longue, sous peine de payer des loyers pour des locaux inoccupés.</w:t>
      </w:r>
    </w:p>
    <w:p w:rsidR="003840AC" w:rsidRPr="003840AC" w:rsidRDefault="003840AC" w:rsidP="003840AC">
      <w:pPr>
        <w:numPr>
          <w:ilvl w:val="0"/>
          <w:numId w:val="11"/>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 xml:space="preserve">La </w:t>
      </w:r>
      <w:r w:rsidRPr="00424905">
        <w:rPr>
          <w:rFonts w:ascii="Times New Roman" w:eastAsia="Times New Roman" w:hAnsi="Times New Roman" w:cs="Times New Roman"/>
          <w:b/>
          <w:bCs/>
          <w:sz w:val="18"/>
          <w:szCs w:val="20"/>
          <w:highlight w:val="yellow"/>
          <w:lang w:eastAsia="fr-FR"/>
        </w:rPr>
        <w:t>perte potentielle du contrôle sur les travaux d'amélioration et de mise aux normes</w:t>
      </w:r>
      <w:r w:rsidRPr="004E5845">
        <w:rPr>
          <w:rFonts w:ascii="Times New Roman" w:eastAsia="Times New Roman" w:hAnsi="Times New Roman" w:cs="Times New Roman"/>
          <w:b/>
          <w:bCs/>
          <w:sz w:val="18"/>
          <w:szCs w:val="20"/>
          <w:lang w:eastAsia="fr-FR"/>
        </w:rPr>
        <w:t xml:space="preserve"> </w:t>
      </w:r>
      <w:r w:rsidRPr="003840AC">
        <w:rPr>
          <w:rFonts w:ascii="Times New Roman" w:eastAsia="Times New Roman" w:hAnsi="Times New Roman" w:cs="Times New Roman"/>
          <w:sz w:val="18"/>
          <w:szCs w:val="20"/>
          <w:lang w:eastAsia="fr-FR"/>
        </w:rPr>
        <w:br/>
        <w:t>Déléguer la gestion d'un actif immobilier engendre de perdre la main sur les travaux d'agrandissement, de restructuration et d'amélioration. Dans certains secteurs particulièrement réglementés (ex : maisons de retraite ou hôtels), le locataire ne peut prendre le risque de se retrouver dans une situation où le bâtiment n'est plus aux normes du fait du manque de diligence du propriétaire dans la réalisation des travaux de mise en conformité. Le locataire a alors intérêt à prévoir des clauses spécifiques dans le contrat de bail, lui permettant de conserver la responsabilité des travaux.</w:t>
      </w:r>
    </w:p>
    <w:p w:rsidR="003840AC" w:rsidRPr="003840AC" w:rsidRDefault="003840AC" w:rsidP="003840AC">
      <w:pPr>
        <w:numPr>
          <w:ilvl w:val="0"/>
          <w:numId w:val="11"/>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 xml:space="preserve">Une </w:t>
      </w:r>
      <w:r w:rsidRPr="00424905">
        <w:rPr>
          <w:rFonts w:ascii="Times New Roman" w:eastAsia="Times New Roman" w:hAnsi="Times New Roman" w:cs="Times New Roman"/>
          <w:b/>
          <w:bCs/>
          <w:sz w:val="18"/>
          <w:szCs w:val="20"/>
          <w:highlight w:val="yellow"/>
          <w:lang w:eastAsia="fr-FR"/>
        </w:rPr>
        <w:t>charge de location à subordonner à des indices adaptés</w:t>
      </w:r>
      <w:r w:rsidRPr="003840AC">
        <w:rPr>
          <w:rFonts w:ascii="Times New Roman" w:eastAsia="Times New Roman" w:hAnsi="Times New Roman" w:cs="Times New Roman"/>
          <w:sz w:val="18"/>
          <w:szCs w:val="20"/>
          <w:lang w:eastAsia="fr-FR"/>
        </w:rPr>
        <w:t xml:space="preserve"> </w:t>
      </w:r>
      <w:r w:rsidRPr="003840AC">
        <w:rPr>
          <w:rFonts w:ascii="Times New Roman" w:eastAsia="Times New Roman" w:hAnsi="Times New Roman" w:cs="Times New Roman"/>
          <w:sz w:val="18"/>
          <w:szCs w:val="20"/>
          <w:lang w:eastAsia="fr-FR"/>
        </w:rPr>
        <w:br/>
        <w:t xml:space="preserve">Si l'amortissement d'une immobilisation est une charge maîtrisée, voire constante, il n'en est pas de même pour les loyers ou redevances de crédit-bail. En témoigne, au cours des cinq dernières années, l'augmentation moyenne des loyers indexés sur l'Indice du Coût de la Construction qui a été d'environ 5% par an. </w:t>
      </w:r>
      <w:r w:rsidRPr="003840AC">
        <w:rPr>
          <w:rFonts w:ascii="Times New Roman" w:eastAsia="Times New Roman" w:hAnsi="Times New Roman" w:cs="Times New Roman"/>
          <w:sz w:val="18"/>
          <w:szCs w:val="20"/>
          <w:lang w:eastAsia="fr-FR"/>
        </w:rPr>
        <w:br/>
        <w:t>Dans certains secteurs, d'autres indices sont à considérer car plus pertinents par rapport à l'activité : Indice des Loyers Commerciaux (ILC) pour le commerce, Indice de Référence des Loyers (IRL) pour les maisons de retraite.</w:t>
      </w:r>
    </w:p>
    <w:p w:rsidR="00424905" w:rsidRDefault="003840AC" w:rsidP="00424905">
      <w:pPr>
        <w:numPr>
          <w:ilvl w:val="0"/>
          <w:numId w:val="11"/>
        </w:numPr>
        <w:spacing w:before="100" w:beforeAutospacing="1" w:after="100" w:afterAutospacing="1" w:line="240" w:lineRule="auto"/>
        <w:rPr>
          <w:rFonts w:ascii="Times New Roman" w:eastAsia="Times New Roman" w:hAnsi="Times New Roman" w:cs="Times New Roman"/>
          <w:sz w:val="18"/>
          <w:szCs w:val="20"/>
          <w:lang w:eastAsia="fr-FR"/>
        </w:rPr>
      </w:pPr>
      <w:r w:rsidRPr="004E5845">
        <w:rPr>
          <w:rFonts w:ascii="Times New Roman" w:eastAsia="Times New Roman" w:hAnsi="Times New Roman" w:cs="Times New Roman"/>
          <w:b/>
          <w:bCs/>
          <w:sz w:val="18"/>
          <w:szCs w:val="20"/>
          <w:lang w:eastAsia="fr-FR"/>
        </w:rPr>
        <w:t xml:space="preserve">Un </w:t>
      </w:r>
      <w:r w:rsidRPr="00424905">
        <w:rPr>
          <w:rFonts w:ascii="Times New Roman" w:eastAsia="Times New Roman" w:hAnsi="Times New Roman" w:cs="Times New Roman"/>
          <w:b/>
          <w:bCs/>
          <w:sz w:val="18"/>
          <w:szCs w:val="20"/>
          <w:highlight w:val="yellow"/>
          <w:lang w:eastAsia="fr-FR"/>
        </w:rPr>
        <w:t>désendettement réel mais un ratio d'endettement maintenu</w:t>
      </w:r>
      <w:r w:rsidR="00424905">
        <w:rPr>
          <w:rFonts w:ascii="Times New Roman" w:eastAsia="Times New Roman" w:hAnsi="Times New Roman" w:cs="Times New Roman"/>
          <w:b/>
          <w:bCs/>
          <w:sz w:val="18"/>
          <w:szCs w:val="20"/>
          <w:lang w:eastAsia="fr-FR"/>
        </w:rPr>
        <w:t xml:space="preserve"> </w:t>
      </w:r>
    </w:p>
    <w:p w:rsidR="009E3B3E" w:rsidRDefault="00424905" w:rsidP="009E3B3E">
      <w:pPr>
        <w:numPr>
          <w:ilvl w:val="0"/>
          <w:numId w:val="11"/>
        </w:numPr>
        <w:spacing w:before="100" w:beforeAutospacing="1" w:after="100" w:afterAutospacing="1" w:line="240" w:lineRule="auto"/>
        <w:rPr>
          <w:rFonts w:ascii="Times New Roman" w:eastAsia="Times New Roman" w:hAnsi="Times New Roman" w:cs="Times New Roman"/>
          <w:sz w:val="18"/>
          <w:szCs w:val="20"/>
          <w:lang w:eastAsia="fr-FR"/>
        </w:rPr>
      </w:pPr>
      <w:r w:rsidRPr="00424905">
        <w:rPr>
          <w:rFonts w:ascii="Times New Roman" w:eastAsia="Times New Roman" w:hAnsi="Times New Roman" w:cs="Times New Roman"/>
          <w:b/>
          <w:bCs/>
          <w:color w:val="FF0000"/>
          <w:sz w:val="18"/>
          <w:szCs w:val="20"/>
          <w:highlight w:val="yellow"/>
          <w:lang w:eastAsia="fr-FR"/>
        </w:rPr>
        <w:t>Evitable ?</w:t>
      </w:r>
      <w:r w:rsidR="003840AC" w:rsidRPr="00424905">
        <w:rPr>
          <w:rFonts w:ascii="Times New Roman" w:eastAsia="Times New Roman" w:hAnsi="Times New Roman" w:cs="Times New Roman"/>
          <w:b/>
          <w:bCs/>
          <w:color w:val="FF0000"/>
          <w:sz w:val="18"/>
          <w:szCs w:val="20"/>
          <w:lang w:eastAsia="fr-FR"/>
        </w:rPr>
        <w:t xml:space="preserve"> </w:t>
      </w:r>
      <w:r w:rsidR="003840AC" w:rsidRPr="00424905">
        <w:rPr>
          <w:rFonts w:ascii="Times New Roman" w:eastAsia="Times New Roman" w:hAnsi="Times New Roman" w:cs="Times New Roman"/>
          <w:sz w:val="18"/>
          <w:szCs w:val="20"/>
          <w:lang w:eastAsia="fr-FR"/>
        </w:rPr>
        <w:br/>
        <w:t xml:space="preserve">D'un point de vue comptable, la solution du crédit-bail lorsqu'elle est qualifiée de location financement, offre le paradoxe de ne pas changer fondamentalement la structure </w:t>
      </w:r>
      <w:r w:rsidRPr="00424905">
        <w:rPr>
          <w:rFonts w:ascii="Times New Roman" w:eastAsia="Times New Roman" w:hAnsi="Times New Roman" w:cs="Times New Roman"/>
          <w:sz w:val="18"/>
          <w:szCs w:val="20"/>
          <w:lang w:eastAsia="fr-FR"/>
        </w:rPr>
        <w:t>bilancielle</w:t>
      </w:r>
      <w:r w:rsidR="003840AC" w:rsidRPr="00424905">
        <w:rPr>
          <w:rFonts w:ascii="Times New Roman" w:eastAsia="Times New Roman" w:hAnsi="Times New Roman" w:cs="Times New Roman"/>
          <w:sz w:val="18"/>
          <w:szCs w:val="20"/>
          <w:lang w:eastAsia="fr-FR"/>
        </w:rPr>
        <w:t xml:space="preserve"> de l'entreprise. En effet, le </w:t>
      </w:r>
      <w:r w:rsidR="003840AC" w:rsidRPr="00424905">
        <w:rPr>
          <w:rFonts w:ascii="Times New Roman" w:eastAsia="Times New Roman" w:hAnsi="Times New Roman" w:cs="Times New Roman"/>
          <w:sz w:val="18"/>
          <w:szCs w:val="20"/>
          <w:highlight w:val="yellow"/>
          <w:lang w:eastAsia="fr-FR"/>
        </w:rPr>
        <w:t>crédit-bail est retraité dans les comptes consolidés</w:t>
      </w:r>
      <w:r w:rsidR="003840AC" w:rsidRPr="00424905">
        <w:rPr>
          <w:rFonts w:ascii="Times New Roman" w:eastAsia="Times New Roman" w:hAnsi="Times New Roman" w:cs="Times New Roman"/>
          <w:sz w:val="18"/>
          <w:szCs w:val="20"/>
          <w:lang w:eastAsia="fr-FR"/>
        </w:rPr>
        <w:t xml:space="preserve">, ce qui a pour conséquence de constater un actif et une dette financière. D'ailleurs, l'IASB envisage d'étendre ce retraitement dans les comptes IFRS à l'ensemble des contrats de location, qu'ils aient la nature de location simple ou de location financement. </w:t>
      </w:r>
      <w:r w:rsidR="003840AC" w:rsidRPr="00424905">
        <w:rPr>
          <w:rFonts w:ascii="Times New Roman" w:eastAsia="Times New Roman" w:hAnsi="Times New Roman" w:cs="Times New Roman"/>
          <w:sz w:val="18"/>
          <w:szCs w:val="20"/>
          <w:lang w:eastAsia="fr-FR"/>
        </w:rPr>
        <w:br/>
        <w:t>Economiquement, le désendettement est néanmoins réel, la dette ainsi constatée étant à terme alors que le cash reçu en contrepartie de l'actif est immédiat.</w:t>
      </w:r>
      <w:r w:rsidR="009E3B3E" w:rsidRPr="00424905">
        <w:rPr>
          <w:rFonts w:ascii="Times New Roman" w:eastAsia="Times New Roman" w:hAnsi="Times New Roman" w:cs="Times New Roman"/>
          <w:vanish/>
          <w:sz w:val="18"/>
          <w:szCs w:val="20"/>
          <w:lang w:eastAsia="fr-FR"/>
        </w:rPr>
        <w:t>Un certain nombre de conditions sont à considérer avant la décision de réaliser une opération de cession-bail :</w:t>
      </w:r>
    </w:p>
    <w:p w:rsidR="00424905" w:rsidRPr="00424905" w:rsidRDefault="00424905" w:rsidP="00424905">
      <w:pPr>
        <w:spacing w:before="100" w:beforeAutospacing="1" w:after="100" w:afterAutospacing="1" w:line="240" w:lineRule="auto"/>
        <w:ind w:left="720"/>
        <w:rPr>
          <w:rFonts w:ascii="Times New Roman" w:eastAsia="Times New Roman" w:hAnsi="Times New Roman" w:cs="Times New Roman"/>
          <w:sz w:val="18"/>
          <w:szCs w:val="20"/>
          <w:lang w:eastAsia="fr-FR"/>
        </w:rPr>
      </w:pPr>
    </w:p>
    <w:p w:rsidR="009E3B3E" w:rsidRPr="009E3B3E" w:rsidRDefault="009E3B3E" w:rsidP="009E3B3E">
      <w:pPr>
        <w:numPr>
          <w:ilvl w:val="0"/>
          <w:numId w:val="8"/>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L'adéquation des caractéristiques du bien immobilier avec les attentes des investisseurs sur sa liquidité et son rendement</w:t>
      </w:r>
      <w:r w:rsidRPr="009E3B3E">
        <w:rPr>
          <w:rFonts w:ascii="Times New Roman" w:eastAsia="Times New Roman" w:hAnsi="Times New Roman" w:cs="Times New Roman"/>
          <w:vanish/>
          <w:sz w:val="18"/>
          <w:szCs w:val="20"/>
          <w:lang w:eastAsia="fr-FR"/>
        </w:rPr>
        <w:t xml:space="preserve"> </w:t>
      </w:r>
      <w:r w:rsidRPr="009E3B3E">
        <w:rPr>
          <w:rFonts w:ascii="Times New Roman" w:eastAsia="Times New Roman" w:hAnsi="Times New Roman" w:cs="Times New Roman"/>
          <w:vanish/>
          <w:sz w:val="18"/>
          <w:szCs w:val="20"/>
          <w:lang w:eastAsia="fr-FR"/>
        </w:rPr>
        <w:br/>
        <w:t>Sale-and-lease back ne veut pas dire « one size fits all ».</w:t>
      </w:r>
      <w:r w:rsidRPr="009E3B3E">
        <w:rPr>
          <w:rFonts w:ascii="Times New Roman" w:eastAsia="Times New Roman" w:hAnsi="Times New Roman" w:cs="Times New Roman"/>
          <w:vanish/>
          <w:sz w:val="18"/>
          <w:szCs w:val="20"/>
          <w:lang w:eastAsia="fr-FR"/>
        </w:rPr>
        <w:br/>
        <w:t>Les investisseurs recherchent notamment les murs les plus « liquides » possibles. Autant dire qu'il est plus facile d'effectuer une cession-bail de bureaux de centre-ville ou d'entrepôts situés sur la dorsale Lille-Paris-Lyon-Marseille que de locaux industriels sur le plateau du Larzac. Cela n'a toutefois pas empêché Thales ou les chaînes de restaurants Courtepaille ou Buffalo Grill de trouver des acquéreurs, bien que les bâtiments soient pour le moins « typés ».</w:t>
      </w:r>
      <w:r w:rsidRPr="009E3B3E">
        <w:rPr>
          <w:rFonts w:ascii="Times New Roman" w:eastAsia="Times New Roman" w:hAnsi="Times New Roman" w:cs="Times New Roman"/>
          <w:vanish/>
          <w:sz w:val="18"/>
          <w:szCs w:val="20"/>
          <w:lang w:eastAsia="fr-FR"/>
        </w:rPr>
        <w:br/>
        <w:t>Egalement, les investisseurs recherchent un rendement, exprimé par le ratio du loyer net sur le prix payé pour l'actif. Un juste équilibre est à trouver entre le rendement attendu par le marché et la capacité du locataire à faire face à ses engagements, exprimé par son taux d'effort (ratio loyer / chiffre d'affaires du locataire).</w:t>
      </w:r>
      <w:r w:rsidRPr="009E3B3E">
        <w:rPr>
          <w:rFonts w:ascii="Times New Roman" w:eastAsia="Times New Roman" w:hAnsi="Times New Roman" w:cs="Times New Roman"/>
          <w:vanish/>
          <w:sz w:val="18"/>
          <w:szCs w:val="20"/>
          <w:lang w:eastAsia="fr-FR"/>
        </w:rPr>
        <w:br/>
        <w:t>De même, un engagement locatif de 9 à 12 ans fermes est le plus souvent exigé par les investisseurs. En conséquence, l'entreprise locataire doit être certaine d'avoir besoin d'exploiter les locaux concernés sur une période aussi longue, sous peine de payer des loyers pour des locaux inoccupés.</w:t>
      </w:r>
    </w:p>
    <w:p w:rsidR="009E3B3E" w:rsidRPr="009E3B3E" w:rsidRDefault="009E3B3E" w:rsidP="009E3B3E">
      <w:pPr>
        <w:numPr>
          <w:ilvl w:val="0"/>
          <w:numId w:val="8"/>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 xml:space="preserve">La perte potentielle du contrôle sur les travaux d'amélioration et de mise aux normes </w:t>
      </w:r>
      <w:r w:rsidRPr="009E3B3E">
        <w:rPr>
          <w:rFonts w:ascii="Times New Roman" w:eastAsia="Times New Roman" w:hAnsi="Times New Roman" w:cs="Times New Roman"/>
          <w:vanish/>
          <w:sz w:val="18"/>
          <w:szCs w:val="20"/>
          <w:lang w:eastAsia="fr-FR"/>
        </w:rPr>
        <w:br/>
        <w:t>Déléguer la gestion d'un actif immobilier engendre de perdre la main sur les travaux d'agrandissement, de restructuration et d'amélioration. Dans certains secteurs particulièrement réglementés (ex : maisons de retraite ou hôtels), le locataire ne peut prendre le risque de se retrouver dans une situation où le bâtiment n'est plus aux normes du fait du manque de diligence du propriétaire dans la réalisation des travaux de mise en conformité. Le locataire a alors intérêt à prévoir des clauses spécifiques dans le contrat de bail, lui permettant de conserver la responsabilité des travaux.</w:t>
      </w:r>
    </w:p>
    <w:p w:rsidR="009E3B3E" w:rsidRPr="009E3B3E" w:rsidRDefault="009E3B3E" w:rsidP="009E3B3E">
      <w:pPr>
        <w:numPr>
          <w:ilvl w:val="0"/>
          <w:numId w:val="8"/>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Une charge de location à subordonner à des indices adaptés</w:t>
      </w:r>
      <w:r w:rsidRPr="009E3B3E">
        <w:rPr>
          <w:rFonts w:ascii="Times New Roman" w:eastAsia="Times New Roman" w:hAnsi="Times New Roman" w:cs="Times New Roman"/>
          <w:vanish/>
          <w:sz w:val="18"/>
          <w:szCs w:val="20"/>
          <w:lang w:eastAsia="fr-FR"/>
        </w:rPr>
        <w:t xml:space="preserve"> </w:t>
      </w:r>
      <w:r w:rsidRPr="009E3B3E">
        <w:rPr>
          <w:rFonts w:ascii="Times New Roman" w:eastAsia="Times New Roman" w:hAnsi="Times New Roman" w:cs="Times New Roman"/>
          <w:vanish/>
          <w:sz w:val="18"/>
          <w:szCs w:val="20"/>
          <w:lang w:eastAsia="fr-FR"/>
        </w:rPr>
        <w:br/>
        <w:t xml:space="preserve">Si l'amortissement d'une immobilisation est une charge maîtrisée, voire constante, il n'en est pas de même pour les loyers ou redevances de crédit-bail. En témoigne, au cours des cinq dernières années, l'augmentation moyenne des loyers indexés sur l'Indice du Coût de la Construction qui a été d'environ 5% par an. </w:t>
      </w:r>
      <w:r w:rsidRPr="009E3B3E">
        <w:rPr>
          <w:rFonts w:ascii="Times New Roman" w:eastAsia="Times New Roman" w:hAnsi="Times New Roman" w:cs="Times New Roman"/>
          <w:vanish/>
          <w:sz w:val="18"/>
          <w:szCs w:val="20"/>
          <w:lang w:eastAsia="fr-FR"/>
        </w:rPr>
        <w:br/>
        <w:t>Dans certains secteurs, d'autres indices sont à considérer car plus pertinents par rapport à l'activité : Indice des Loyers Commerciaux (ILC) pour le commerce, Indice de Référence des Loyers (IRL) pour les maisons de retraite.</w:t>
      </w:r>
    </w:p>
    <w:p w:rsidR="009E3B3E" w:rsidRPr="009E3B3E" w:rsidRDefault="009E3B3E" w:rsidP="009E3B3E">
      <w:pPr>
        <w:numPr>
          <w:ilvl w:val="0"/>
          <w:numId w:val="8"/>
        </w:numPr>
        <w:spacing w:before="100" w:beforeAutospacing="1" w:after="100" w:afterAutospacing="1" w:line="240" w:lineRule="auto"/>
        <w:rPr>
          <w:rFonts w:ascii="Times New Roman" w:eastAsia="Times New Roman" w:hAnsi="Times New Roman" w:cs="Times New Roman"/>
          <w:vanish/>
          <w:sz w:val="18"/>
          <w:szCs w:val="20"/>
          <w:lang w:eastAsia="fr-FR"/>
        </w:rPr>
      </w:pPr>
      <w:r w:rsidRPr="004E5845">
        <w:rPr>
          <w:rFonts w:ascii="Times New Roman" w:eastAsia="Times New Roman" w:hAnsi="Times New Roman" w:cs="Times New Roman"/>
          <w:b/>
          <w:bCs/>
          <w:vanish/>
          <w:sz w:val="18"/>
          <w:szCs w:val="20"/>
          <w:lang w:eastAsia="fr-FR"/>
        </w:rPr>
        <w:t xml:space="preserve">Un désendettement réel mais un ratio d'endettement maintenu </w:t>
      </w:r>
      <w:r w:rsidRPr="009E3B3E">
        <w:rPr>
          <w:rFonts w:ascii="Times New Roman" w:eastAsia="Times New Roman" w:hAnsi="Times New Roman" w:cs="Times New Roman"/>
          <w:vanish/>
          <w:sz w:val="18"/>
          <w:szCs w:val="20"/>
          <w:lang w:eastAsia="fr-FR"/>
        </w:rPr>
        <w:br/>
        <w:t xml:space="preserve">D'un point de vue comptable, la solution du crédit-bail lorsqu'elle est qualifiée de location financement, offre le paradoxe de ne pas changer fondamentalement la structure bilantielle de l'entreprise. En effet, le crédit-bail est retraité dans les comptes consolidés, ce qui a pour conséquence de constater un actif et une dette financière. D'ailleurs, l'IASB envisage d'étendre ce retraitement dans les comptes IFRS à l'ensemble des contrats de location, qu'ils aient la nature de location simple ou de location financement. </w:t>
      </w:r>
      <w:r w:rsidRPr="009E3B3E">
        <w:rPr>
          <w:rFonts w:ascii="Times New Roman" w:eastAsia="Times New Roman" w:hAnsi="Times New Roman" w:cs="Times New Roman"/>
          <w:vanish/>
          <w:sz w:val="18"/>
          <w:szCs w:val="20"/>
          <w:lang w:eastAsia="fr-FR"/>
        </w:rPr>
        <w:br/>
        <w:t>Economiquement, le désendettement est néanmoins réel, la dette ainsi constatée étant à terme alors que le cash reçu en contrepartie de l'actif est immédiat.</w:t>
      </w:r>
    </w:p>
    <w:p w:rsidR="009E3B3E" w:rsidRPr="009E3B3E" w:rsidRDefault="00111584" w:rsidP="00424905">
      <w:pPr>
        <w:spacing w:before="100" w:beforeAutospacing="1" w:after="100" w:afterAutospacing="1" w:line="240" w:lineRule="auto"/>
        <w:ind w:left="720"/>
        <w:rPr>
          <w:rFonts w:ascii="Times New Roman" w:eastAsia="Times New Roman" w:hAnsi="Times New Roman" w:cs="Times New Roman"/>
          <w:sz w:val="18"/>
          <w:szCs w:val="20"/>
          <w:lang w:eastAsia="fr-FR"/>
        </w:rPr>
      </w:pPr>
      <w:hyperlink r:id="rId10" w:history="1">
        <w:proofErr w:type="spellStart"/>
        <w:r w:rsidR="009E3B3E" w:rsidRPr="004E5845">
          <w:rPr>
            <w:rFonts w:ascii="Times New Roman" w:eastAsia="Times New Roman" w:hAnsi="Times New Roman" w:cs="Times New Roman"/>
            <w:b/>
            <w:bCs/>
            <w:sz w:val="18"/>
            <w:szCs w:val="20"/>
            <w:lang w:eastAsia="fr-FR"/>
          </w:rPr>
          <w:t>Crédit-bailleur</w:t>
        </w:r>
        <w:proofErr w:type="spellEnd"/>
        <w:r w:rsidR="009E3B3E" w:rsidRPr="004E5845">
          <w:rPr>
            <w:rFonts w:ascii="Times New Roman" w:eastAsia="Times New Roman" w:hAnsi="Times New Roman" w:cs="Times New Roman"/>
            <w:b/>
            <w:bCs/>
            <w:sz w:val="18"/>
            <w:szCs w:val="20"/>
            <w:lang w:eastAsia="fr-FR"/>
          </w:rPr>
          <w:t>, SIIC ou OPCI : comment choisir son partenaire ?</w:t>
        </w:r>
      </w:hyperlink>
    </w:p>
    <w:p w:rsidR="003840AC" w:rsidRPr="004E5845" w:rsidRDefault="0057343F" w:rsidP="003840AC">
      <w:pPr>
        <w:pStyle w:val="Paragraphedeliste"/>
        <w:numPr>
          <w:ilvl w:val="0"/>
          <w:numId w:val="9"/>
        </w:numPr>
        <w:spacing w:before="100" w:beforeAutospacing="1" w:after="100" w:afterAutospacing="1" w:line="240" w:lineRule="auto"/>
        <w:rPr>
          <w:rFonts w:ascii="Times New Roman" w:eastAsia="Times New Roman" w:hAnsi="Times New Roman" w:cs="Times New Roman"/>
          <w:sz w:val="18"/>
          <w:szCs w:val="20"/>
          <w:lang w:eastAsia="fr-FR"/>
        </w:rPr>
      </w:pPr>
      <w:r>
        <w:rPr>
          <w:rFonts w:ascii="Times New Roman" w:eastAsia="Times New Roman" w:hAnsi="Times New Roman" w:cs="Times New Roman"/>
          <w:sz w:val="18"/>
          <w:szCs w:val="20"/>
          <w:lang w:eastAsia="fr-FR"/>
        </w:rPr>
        <w:t xml:space="preserve">crédit-bail et </w:t>
      </w:r>
      <w:r w:rsidRPr="004E5845">
        <w:rPr>
          <w:rFonts w:ascii="Times New Roman" w:eastAsia="Times New Roman" w:hAnsi="Times New Roman" w:cs="Times New Roman"/>
          <w:sz w:val="18"/>
          <w:szCs w:val="20"/>
          <w:lang w:eastAsia="fr-FR"/>
        </w:rPr>
        <w:t>option de rachat</w:t>
      </w:r>
      <w:r>
        <w:rPr>
          <w:rFonts w:ascii="Times New Roman" w:eastAsia="Times New Roman" w:hAnsi="Times New Roman" w:cs="Times New Roman"/>
          <w:sz w:val="18"/>
          <w:szCs w:val="20"/>
          <w:lang w:eastAsia="fr-FR"/>
        </w:rPr>
        <w:t xml:space="preserve"> : </w:t>
      </w:r>
      <w:r w:rsidR="003840AC" w:rsidRPr="004E5845">
        <w:rPr>
          <w:rFonts w:ascii="Times New Roman" w:eastAsia="Times New Roman" w:hAnsi="Times New Roman" w:cs="Times New Roman"/>
          <w:sz w:val="18"/>
          <w:szCs w:val="20"/>
          <w:lang w:eastAsia="fr-FR"/>
        </w:rPr>
        <w:t xml:space="preserve">Si </w:t>
      </w:r>
      <w:r>
        <w:rPr>
          <w:rFonts w:ascii="Times New Roman" w:eastAsia="Times New Roman" w:hAnsi="Times New Roman" w:cs="Times New Roman"/>
          <w:sz w:val="18"/>
          <w:szCs w:val="20"/>
          <w:lang w:eastAsia="fr-FR"/>
        </w:rPr>
        <w:t xml:space="preserve">besoin </w:t>
      </w:r>
      <w:r w:rsidR="003840AC" w:rsidRPr="004E5845">
        <w:rPr>
          <w:rFonts w:ascii="Times New Roman" w:eastAsia="Times New Roman" w:hAnsi="Times New Roman" w:cs="Times New Roman"/>
          <w:sz w:val="18"/>
          <w:szCs w:val="20"/>
          <w:lang w:eastAsia="fr-FR"/>
        </w:rPr>
        <w:t xml:space="preserve">refinancement </w:t>
      </w:r>
      <w:r>
        <w:rPr>
          <w:rFonts w:ascii="Times New Roman" w:eastAsia="Times New Roman" w:hAnsi="Times New Roman" w:cs="Times New Roman"/>
          <w:sz w:val="18"/>
          <w:szCs w:val="20"/>
          <w:lang w:eastAsia="fr-FR"/>
        </w:rPr>
        <w:t xml:space="preserve">et pas de </w:t>
      </w:r>
      <w:r w:rsidR="003840AC" w:rsidRPr="004E5845">
        <w:rPr>
          <w:rFonts w:ascii="Times New Roman" w:eastAsia="Times New Roman" w:hAnsi="Times New Roman" w:cs="Times New Roman"/>
          <w:sz w:val="18"/>
          <w:szCs w:val="20"/>
          <w:lang w:eastAsia="fr-FR"/>
        </w:rPr>
        <w:t xml:space="preserve"> perte définitive de contrôle de l'actif </w:t>
      </w:r>
    </w:p>
    <w:p w:rsidR="003840AC" w:rsidRPr="004E5845" w:rsidRDefault="003840AC" w:rsidP="003840AC">
      <w:pPr>
        <w:pStyle w:val="Paragraphedeliste"/>
        <w:numPr>
          <w:ilvl w:val="0"/>
          <w:numId w:val="9"/>
        </w:numPr>
        <w:spacing w:before="100" w:beforeAutospacing="1" w:after="100" w:afterAutospacing="1" w:line="240" w:lineRule="auto"/>
        <w:rPr>
          <w:rFonts w:ascii="Times New Roman" w:eastAsia="Times New Roman" w:hAnsi="Times New Roman" w:cs="Times New Roman"/>
          <w:sz w:val="18"/>
          <w:szCs w:val="20"/>
          <w:lang w:eastAsia="fr-FR"/>
        </w:rPr>
      </w:pPr>
      <w:proofErr w:type="spellStart"/>
      <w:r w:rsidRPr="004E5845">
        <w:rPr>
          <w:rFonts w:ascii="Times New Roman" w:eastAsia="Times New Roman" w:hAnsi="Times New Roman" w:cs="Times New Roman"/>
          <w:sz w:val="18"/>
          <w:szCs w:val="20"/>
          <w:lang w:eastAsia="fr-FR"/>
        </w:rPr>
        <w:t>cession-bail</w:t>
      </w:r>
      <w:proofErr w:type="spellEnd"/>
      <w:r w:rsidRPr="004E5845">
        <w:rPr>
          <w:rFonts w:ascii="Times New Roman" w:eastAsia="Times New Roman" w:hAnsi="Times New Roman" w:cs="Times New Roman"/>
          <w:sz w:val="18"/>
          <w:szCs w:val="20"/>
          <w:lang w:eastAsia="fr-FR"/>
        </w:rPr>
        <w:t xml:space="preserve"> à une Société d'Investissements Immobiliers Cotées (SIIC)</w:t>
      </w:r>
      <w:r w:rsidR="006E3E76">
        <w:rPr>
          <w:rFonts w:ascii="Times New Roman" w:eastAsia="Times New Roman" w:hAnsi="Times New Roman" w:cs="Times New Roman"/>
          <w:sz w:val="18"/>
          <w:szCs w:val="20"/>
          <w:lang w:eastAsia="fr-FR"/>
        </w:rPr>
        <w:t> :</w:t>
      </w:r>
      <w:r w:rsidRPr="004E5845">
        <w:rPr>
          <w:rFonts w:ascii="Times New Roman" w:eastAsia="Times New Roman" w:hAnsi="Times New Roman" w:cs="Times New Roman"/>
          <w:sz w:val="18"/>
          <w:szCs w:val="20"/>
          <w:lang w:eastAsia="fr-FR"/>
        </w:rPr>
        <w:t xml:space="preserve"> simplicité. </w:t>
      </w:r>
    </w:p>
    <w:p w:rsidR="008F00F1" w:rsidRDefault="003840AC" w:rsidP="003840AC">
      <w:pPr>
        <w:pStyle w:val="Paragraphedeliste"/>
        <w:numPr>
          <w:ilvl w:val="0"/>
          <w:numId w:val="9"/>
        </w:numPr>
        <w:spacing w:before="100" w:beforeAutospacing="1" w:after="100" w:afterAutospacing="1" w:line="240" w:lineRule="auto"/>
        <w:rPr>
          <w:rFonts w:ascii="Times New Roman" w:eastAsia="Times New Roman" w:hAnsi="Times New Roman" w:cs="Times New Roman"/>
          <w:sz w:val="18"/>
          <w:szCs w:val="20"/>
          <w:lang w:eastAsia="fr-FR"/>
        </w:rPr>
      </w:pPr>
      <w:proofErr w:type="spellStart"/>
      <w:r w:rsidRPr="008F00F1">
        <w:rPr>
          <w:rFonts w:ascii="Times New Roman" w:eastAsia="Times New Roman" w:hAnsi="Times New Roman" w:cs="Times New Roman"/>
          <w:sz w:val="18"/>
          <w:szCs w:val="20"/>
          <w:lang w:eastAsia="fr-FR"/>
        </w:rPr>
        <w:t>cession-bail</w:t>
      </w:r>
      <w:proofErr w:type="spellEnd"/>
      <w:r w:rsidRPr="008F00F1">
        <w:rPr>
          <w:rFonts w:ascii="Times New Roman" w:eastAsia="Times New Roman" w:hAnsi="Times New Roman" w:cs="Times New Roman"/>
          <w:sz w:val="18"/>
          <w:szCs w:val="20"/>
          <w:lang w:eastAsia="fr-FR"/>
        </w:rPr>
        <w:t xml:space="preserve"> à un Organisme de Placement Collectif en Immobilier(OPCI)</w:t>
      </w:r>
      <w:r w:rsidR="006E3E76" w:rsidRPr="008F00F1">
        <w:rPr>
          <w:rFonts w:ascii="Times New Roman" w:eastAsia="Times New Roman" w:hAnsi="Times New Roman" w:cs="Times New Roman"/>
          <w:sz w:val="18"/>
          <w:szCs w:val="20"/>
          <w:lang w:eastAsia="fr-FR"/>
        </w:rPr>
        <w:t> </w:t>
      </w:r>
      <w:r w:rsidRPr="008F00F1">
        <w:rPr>
          <w:rFonts w:ascii="Times New Roman" w:eastAsia="Times New Roman" w:hAnsi="Times New Roman" w:cs="Times New Roman"/>
          <w:sz w:val="18"/>
          <w:szCs w:val="20"/>
          <w:lang w:eastAsia="fr-FR"/>
        </w:rPr>
        <w:t xml:space="preserve"> dédié</w:t>
      </w:r>
      <w:r w:rsidR="006E3E76" w:rsidRPr="008F00F1">
        <w:rPr>
          <w:rFonts w:ascii="Times New Roman" w:eastAsia="Times New Roman" w:hAnsi="Times New Roman" w:cs="Times New Roman"/>
          <w:sz w:val="18"/>
          <w:szCs w:val="20"/>
          <w:lang w:eastAsia="fr-FR"/>
        </w:rPr>
        <w:t xml:space="preserve"> : </w:t>
      </w:r>
      <w:r w:rsidRPr="008F00F1">
        <w:rPr>
          <w:rFonts w:ascii="Times New Roman" w:eastAsia="Times New Roman" w:hAnsi="Times New Roman" w:cs="Times New Roman"/>
          <w:sz w:val="18"/>
          <w:szCs w:val="20"/>
          <w:lang w:eastAsia="fr-FR"/>
        </w:rPr>
        <w:t xml:space="preserve">Le cédant peut conserver des parts de cet OPCI ou bien s'en désengager au profit d'un ou plusieurs investisseurs tiers. </w:t>
      </w:r>
    </w:p>
    <w:p w:rsidR="008F00F1" w:rsidRDefault="008F00F1" w:rsidP="008F00F1">
      <w:pPr>
        <w:pStyle w:val="Paragraphedeliste"/>
        <w:spacing w:before="100" w:beforeAutospacing="1" w:after="100" w:afterAutospacing="1" w:line="240" w:lineRule="auto"/>
        <w:rPr>
          <w:rFonts w:ascii="Times New Roman" w:eastAsia="Times New Roman" w:hAnsi="Times New Roman" w:cs="Times New Roman"/>
          <w:sz w:val="18"/>
          <w:szCs w:val="20"/>
          <w:lang w:eastAsia="fr-FR"/>
        </w:rPr>
      </w:pPr>
    </w:p>
    <w:p w:rsidR="003840AC" w:rsidRPr="008F00F1" w:rsidRDefault="003840AC" w:rsidP="003840AC">
      <w:pPr>
        <w:pStyle w:val="Paragraphedeliste"/>
        <w:numPr>
          <w:ilvl w:val="0"/>
          <w:numId w:val="9"/>
        </w:numPr>
        <w:spacing w:before="100" w:beforeAutospacing="1" w:after="100" w:afterAutospacing="1" w:line="240" w:lineRule="auto"/>
        <w:rPr>
          <w:rFonts w:ascii="Times New Roman" w:eastAsia="Times New Roman" w:hAnsi="Times New Roman" w:cs="Times New Roman"/>
          <w:sz w:val="18"/>
          <w:szCs w:val="20"/>
          <w:lang w:eastAsia="fr-FR"/>
        </w:rPr>
      </w:pPr>
      <w:r w:rsidRPr="008F00F1">
        <w:rPr>
          <w:rFonts w:ascii="Times New Roman" w:eastAsia="Times New Roman" w:hAnsi="Times New Roman" w:cs="Times New Roman"/>
          <w:sz w:val="18"/>
          <w:szCs w:val="20"/>
          <w:lang w:eastAsia="fr-FR"/>
        </w:rPr>
        <w:t>Ainsi, céder son immobilier d'exploitation pour en devenir locataire présente des avantages financiers indéniables, mais n'est pas sans conséquences opérationnelles et fiscales. Etre certain de l'opportunité de ce mouvement et bien structurer l'opération en amont, permettent à la fois de profiter au mieux des incitations fiscales et d'en éviter les pièges.</w:t>
      </w:r>
    </w:p>
    <w:p w:rsidR="009E3B3E" w:rsidRDefault="009E3B3E"/>
    <w:sectPr w:rsidR="009E3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0EE1"/>
    <w:multiLevelType w:val="multilevel"/>
    <w:tmpl w:val="00B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65707"/>
    <w:multiLevelType w:val="multilevel"/>
    <w:tmpl w:val="F5A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50B95"/>
    <w:multiLevelType w:val="multilevel"/>
    <w:tmpl w:val="1C7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0799A"/>
    <w:multiLevelType w:val="multilevel"/>
    <w:tmpl w:val="D380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03631"/>
    <w:multiLevelType w:val="multilevel"/>
    <w:tmpl w:val="82D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A2ECA"/>
    <w:multiLevelType w:val="multilevel"/>
    <w:tmpl w:val="940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959EE"/>
    <w:multiLevelType w:val="multilevel"/>
    <w:tmpl w:val="7CCC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E7A79"/>
    <w:multiLevelType w:val="multilevel"/>
    <w:tmpl w:val="A14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40FB8"/>
    <w:multiLevelType w:val="multilevel"/>
    <w:tmpl w:val="89C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936E35"/>
    <w:multiLevelType w:val="multilevel"/>
    <w:tmpl w:val="69C0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03284"/>
    <w:multiLevelType w:val="multilevel"/>
    <w:tmpl w:val="6DEC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9"/>
  </w:num>
  <w:num w:numId="4">
    <w:abstractNumId w:val="4"/>
  </w:num>
  <w:num w:numId="5">
    <w:abstractNumId w:val="10"/>
  </w:num>
  <w:num w:numId="6">
    <w:abstractNumId w:val="2"/>
  </w:num>
  <w:num w:numId="7">
    <w:abstractNumId w:val="7"/>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B3E"/>
    <w:rsid w:val="00111584"/>
    <w:rsid w:val="001828A9"/>
    <w:rsid w:val="003840AC"/>
    <w:rsid w:val="00424905"/>
    <w:rsid w:val="004E5845"/>
    <w:rsid w:val="0057343F"/>
    <w:rsid w:val="006E3E76"/>
    <w:rsid w:val="007D4D3E"/>
    <w:rsid w:val="008F00F1"/>
    <w:rsid w:val="009E3B3E"/>
    <w:rsid w:val="00B810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E3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3B3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E3B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3B3E"/>
    <w:rPr>
      <w:b/>
      <w:bCs/>
    </w:rPr>
  </w:style>
  <w:style w:type="character" w:styleId="Lienhypertexte">
    <w:name w:val="Hyperlink"/>
    <w:basedOn w:val="Policepardfaut"/>
    <w:uiPriority w:val="99"/>
    <w:semiHidden/>
    <w:unhideWhenUsed/>
    <w:rsid w:val="009E3B3E"/>
    <w:rPr>
      <w:color w:val="0000FF"/>
      <w:u w:val="single"/>
    </w:rPr>
  </w:style>
  <w:style w:type="paragraph" w:styleId="Paragraphedeliste">
    <w:name w:val="List Paragraph"/>
    <w:basedOn w:val="Normal"/>
    <w:uiPriority w:val="34"/>
    <w:qFormat/>
    <w:rsid w:val="003840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E3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3B3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E3B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E3B3E"/>
    <w:rPr>
      <w:b/>
      <w:bCs/>
    </w:rPr>
  </w:style>
  <w:style w:type="character" w:styleId="Lienhypertexte">
    <w:name w:val="Hyperlink"/>
    <w:basedOn w:val="Policepardfaut"/>
    <w:uiPriority w:val="99"/>
    <w:semiHidden/>
    <w:unhideWhenUsed/>
    <w:rsid w:val="009E3B3E"/>
    <w:rPr>
      <w:color w:val="0000FF"/>
      <w:u w:val="single"/>
    </w:rPr>
  </w:style>
  <w:style w:type="paragraph" w:styleId="Paragraphedeliste">
    <w:name w:val="List Paragraph"/>
    <w:basedOn w:val="Normal"/>
    <w:uiPriority w:val="34"/>
    <w:qFormat/>
    <w:rsid w:val="0038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272">
      <w:bodyDiv w:val="1"/>
      <w:marLeft w:val="0"/>
      <w:marRight w:val="0"/>
      <w:marTop w:val="0"/>
      <w:marBottom w:val="0"/>
      <w:divBdr>
        <w:top w:val="none" w:sz="0" w:space="0" w:color="auto"/>
        <w:left w:val="none" w:sz="0" w:space="0" w:color="auto"/>
        <w:bottom w:val="none" w:sz="0" w:space="0" w:color="auto"/>
        <w:right w:val="none" w:sz="0" w:space="0" w:color="auto"/>
      </w:divBdr>
      <w:divsChild>
        <w:div w:id="8802611">
          <w:marLeft w:val="0"/>
          <w:marRight w:val="0"/>
          <w:marTop w:val="0"/>
          <w:marBottom w:val="0"/>
          <w:divBdr>
            <w:top w:val="none" w:sz="0" w:space="0" w:color="auto"/>
            <w:left w:val="none" w:sz="0" w:space="0" w:color="auto"/>
            <w:bottom w:val="none" w:sz="0" w:space="0" w:color="auto"/>
            <w:right w:val="none" w:sz="0" w:space="0" w:color="auto"/>
          </w:divBdr>
        </w:div>
        <w:div w:id="668563545">
          <w:marLeft w:val="0"/>
          <w:marRight w:val="0"/>
          <w:marTop w:val="0"/>
          <w:marBottom w:val="0"/>
          <w:divBdr>
            <w:top w:val="none" w:sz="0" w:space="0" w:color="auto"/>
            <w:left w:val="none" w:sz="0" w:space="0" w:color="auto"/>
            <w:bottom w:val="none" w:sz="0" w:space="0" w:color="auto"/>
            <w:right w:val="none" w:sz="0" w:space="0" w:color="auto"/>
          </w:divBdr>
        </w:div>
        <w:div w:id="1747260532">
          <w:marLeft w:val="0"/>
          <w:marRight w:val="0"/>
          <w:marTop w:val="0"/>
          <w:marBottom w:val="0"/>
          <w:divBdr>
            <w:top w:val="none" w:sz="0" w:space="0" w:color="auto"/>
            <w:left w:val="none" w:sz="0" w:space="0" w:color="auto"/>
            <w:bottom w:val="none" w:sz="0" w:space="0" w:color="auto"/>
            <w:right w:val="none" w:sz="0" w:space="0" w:color="auto"/>
          </w:divBdr>
        </w:div>
        <w:div w:id="1615944571">
          <w:marLeft w:val="0"/>
          <w:marRight w:val="0"/>
          <w:marTop w:val="0"/>
          <w:marBottom w:val="0"/>
          <w:divBdr>
            <w:top w:val="none" w:sz="0" w:space="0" w:color="auto"/>
            <w:left w:val="none" w:sz="0" w:space="0" w:color="auto"/>
            <w:bottom w:val="none" w:sz="0" w:space="0" w:color="auto"/>
            <w:right w:val="none" w:sz="0" w:space="0" w:color="auto"/>
          </w:divBdr>
        </w:div>
      </w:divsChild>
    </w:div>
    <w:div w:id="450440112">
      <w:bodyDiv w:val="1"/>
      <w:marLeft w:val="0"/>
      <w:marRight w:val="0"/>
      <w:marTop w:val="0"/>
      <w:marBottom w:val="0"/>
      <w:divBdr>
        <w:top w:val="none" w:sz="0" w:space="0" w:color="auto"/>
        <w:left w:val="none" w:sz="0" w:space="0" w:color="auto"/>
        <w:bottom w:val="none" w:sz="0" w:space="0" w:color="auto"/>
        <w:right w:val="none" w:sz="0" w:space="0" w:color="auto"/>
      </w:divBdr>
    </w:div>
    <w:div w:id="1009910211">
      <w:bodyDiv w:val="1"/>
      <w:marLeft w:val="0"/>
      <w:marRight w:val="0"/>
      <w:marTop w:val="0"/>
      <w:marBottom w:val="0"/>
      <w:divBdr>
        <w:top w:val="none" w:sz="0" w:space="0" w:color="auto"/>
        <w:left w:val="none" w:sz="0" w:space="0" w:color="auto"/>
        <w:bottom w:val="none" w:sz="0" w:space="0" w:color="auto"/>
        <w:right w:val="none" w:sz="0" w:space="0" w:color="auto"/>
      </w:divBdr>
      <w:divsChild>
        <w:div w:id="1469396390">
          <w:marLeft w:val="0"/>
          <w:marRight w:val="0"/>
          <w:marTop w:val="0"/>
          <w:marBottom w:val="0"/>
          <w:divBdr>
            <w:top w:val="none" w:sz="0" w:space="0" w:color="auto"/>
            <w:left w:val="none" w:sz="0" w:space="0" w:color="auto"/>
            <w:bottom w:val="none" w:sz="0" w:space="0" w:color="auto"/>
            <w:right w:val="none" w:sz="0" w:space="0" w:color="auto"/>
          </w:divBdr>
        </w:div>
      </w:divsChild>
    </w:div>
    <w:div w:id="1383556498">
      <w:bodyDiv w:val="1"/>
      <w:marLeft w:val="0"/>
      <w:marRight w:val="0"/>
      <w:marTop w:val="0"/>
      <w:marBottom w:val="0"/>
      <w:divBdr>
        <w:top w:val="none" w:sz="0" w:space="0" w:color="auto"/>
        <w:left w:val="none" w:sz="0" w:space="0" w:color="auto"/>
        <w:bottom w:val="none" w:sz="0" w:space="0" w:color="auto"/>
        <w:right w:val="none" w:sz="0" w:space="0" w:color="auto"/>
      </w:divBdr>
      <w:divsChild>
        <w:div w:id="2017027081">
          <w:marLeft w:val="0"/>
          <w:marRight w:val="0"/>
          <w:marTop w:val="0"/>
          <w:marBottom w:val="0"/>
          <w:divBdr>
            <w:top w:val="none" w:sz="0" w:space="0" w:color="auto"/>
            <w:left w:val="none" w:sz="0" w:space="0" w:color="auto"/>
            <w:bottom w:val="none" w:sz="0" w:space="0" w:color="auto"/>
            <w:right w:val="none" w:sz="0" w:space="0" w:color="auto"/>
          </w:divBdr>
        </w:div>
      </w:divsChild>
    </w:div>
    <w:div w:id="1528370098">
      <w:bodyDiv w:val="1"/>
      <w:marLeft w:val="0"/>
      <w:marRight w:val="0"/>
      <w:marTop w:val="0"/>
      <w:marBottom w:val="0"/>
      <w:divBdr>
        <w:top w:val="none" w:sz="0" w:space="0" w:color="auto"/>
        <w:left w:val="none" w:sz="0" w:space="0" w:color="auto"/>
        <w:bottom w:val="none" w:sz="0" w:space="0" w:color="auto"/>
        <w:right w:val="none" w:sz="0" w:space="0" w:color="auto"/>
      </w:divBdr>
    </w:div>
    <w:div w:id="1717200885">
      <w:bodyDiv w:val="1"/>
      <w:marLeft w:val="0"/>
      <w:marRight w:val="0"/>
      <w:marTop w:val="0"/>
      <w:marBottom w:val="0"/>
      <w:divBdr>
        <w:top w:val="none" w:sz="0" w:space="0" w:color="auto"/>
        <w:left w:val="none" w:sz="0" w:space="0" w:color="auto"/>
        <w:bottom w:val="none" w:sz="0" w:space="0" w:color="auto"/>
        <w:right w:val="none" w:sz="0" w:space="0" w:color="auto"/>
      </w:divBdr>
      <w:divsChild>
        <w:div w:id="30462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montrercacher(2);" TargetMode="External"/><Relationship Id="rId3" Type="http://schemas.microsoft.com/office/2007/relationships/stylesWithEffects" Target="stylesWithEffects.xml"/><Relationship Id="rId7" Type="http://schemas.openxmlformats.org/officeDocument/2006/relationships/hyperlink" Target="javascript:montrercacher(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montrercacher(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montrercacher(4);" TargetMode="External"/><Relationship Id="rId4" Type="http://schemas.openxmlformats.org/officeDocument/2006/relationships/settings" Target="settings.xml"/><Relationship Id="rId9" Type="http://schemas.openxmlformats.org/officeDocument/2006/relationships/hyperlink" Target="javascript:montrercacher(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2370</Words>
  <Characters>13037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7</cp:revision>
  <dcterms:created xsi:type="dcterms:W3CDTF">2011-03-31T08:47:00Z</dcterms:created>
  <dcterms:modified xsi:type="dcterms:W3CDTF">2011-04-04T09:48:00Z</dcterms:modified>
</cp:coreProperties>
</file>