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5E" w:rsidRPr="00720EFA" w:rsidRDefault="00411C5E" w:rsidP="00411C5E">
      <w:pPr>
        <w:rPr>
          <w:b/>
        </w:rPr>
      </w:pPr>
      <w:r w:rsidRPr="00720EFA">
        <w:rPr>
          <w:b/>
        </w:rPr>
        <w:t xml:space="preserve">Plan </w:t>
      </w:r>
    </w:p>
    <w:p w:rsidR="00411C5E" w:rsidRPr="00F01E72" w:rsidRDefault="00411C5E" w:rsidP="00411C5E">
      <w:pPr>
        <w:pStyle w:val="Sansinterligne"/>
      </w:pPr>
      <w:r w:rsidRPr="00F01E72">
        <w:t>1) Poids de la santé et des médicaments dans l’économie française</w:t>
      </w:r>
    </w:p>
    <w:p w:rsidR="00411C5E" w:rsidRPr="00F01E72" w:rsidRDefault="00411C5E" w:rsidP="00411C5E">
      <w:pPr>
        <w:pStyle w:val="Sansinterligne"/>
      </w:pPr>
    </w:p>
    <w:p w:rsidR="00411C5E" w:rsidRPr="00F01E72" w:rsidRDefault="00411C5E" w:rsidP="00411C5E">
      <w:pPr>
        <w:pStyle w:val="Sansinterligne"/>
      </w:pPr>
      <w:r w:rsidRPr="00F01E72">
        <w:t>2) Pharmacies et pharmaciens</w:t>
      </w:r>
    </w:p>
    <w:p w:rsidR="00411C5E" w:rsidRPr="00F01E72" w:rsidRDefault="00411C5E" w:rsidP="00411C5E">
      <w:pPr>
        <w:pStyle w:val="Sansinterligne"/>
        <w:rPr>
          <w:rFonts w:cs="Arial"/>
          <w:bCs/>
          <w:iCs/>
          <w:color w:val="000000"/>
        </w:rPr>
      </w:pPr>
      <w:r w:rsidRPr="00F01E72">
        <w:rPr>
          <w:rFonts w:eastAsia="Times New Roman" w:cs="Arial"/>
          <w:bCs/>
          <w:color w:val="000000"/>
          <w:lang w:eastAsia="fr-FR"/>
        </w:rPr>
        <w:t>Chiffres-clés d'une pharmacie </w:t>
      </w:r>
      <w:r w:rsidRPr="00F01E72">
        <w:rPr>
          <w:rFonts w:cs="Arial"/>
          <w:bCs/>
          <w:iCs/>
          <w:color w:val="000000"/>
        </w:rPr>
        <w:t xml:space="preserve"> </w:t>
      </w:r>
    </w:p>
    <w:p w:rsidR="00411C5E" w:rsidRPr="00F01E72" w:rsidRDefault="00411C5E" w:rsidP="00411C5E">
      <w:pPr>
        <w:pStyle w:val="Sansinterligne"/>
        <w:rPr>
          <w:rFonts w:cs="Arial"/>
        </w:rPr>
      </w:pPr>
      <w:r w:rsidRPr="00F01E72">
        <w:rPr>
          <w:rFonts w:cs="Arial"/>
        </w:rPr>
        <w:t>Répartition MARGE BRUTE PHARMACIES</w:t>
      </w:r>
    </w:p>
    <w:p w:rsidR="00411C5E" w:rsidRPr="00F01E72" w:rsidRDefault="00411C5E" w:rsidP="00411C5E">
      <w:pPr>
        <w:pStyle w:val="Sansinterligne"/>
      </w:pPr>
      <w:r w:rsidRPr="00F01E72">
        <w:rPr>
          <w:rFonts w:cs="Arial"/>
          <w:bCs/>
          <w:iCs/>
          <w:color w:val="000000"/>
        </w:rPr>
        <w:t>Répartition des pharmaciens par type d’activité</w:t>
      </w:r>
      <w:r w:rsidRPr="00F01E72">
        <w:t xml:space="preserve"> </w:t>
      </w:r>
    </w:p>
    <w:p w:rsidR="00411C5E" w:rsidRPr="00F01E72" w:rsidRDefault="00411C5E" w:rsidP="00411C5E">
      <w:pPr>
        <w:pStyle w:val="Sansinterligne"/>
      </w:pPr>
      <w:r w:rsidRPr="00F01E72">
        <w:t>Répartition des pharmacies par chiffre d’affaire</w:t>
      </w:r>
    </w:p>
    <w:p w:rsidR="00411C5E" w:rsidRPr="00F01E72" w:rsidRDefault="00411C5E" w:rsidP="00411C5E">
      <w:pPr>
        <w:pStyle w:val="Sansinterligne"/>
        <w:rPr>
          <w:rFonts w:cs="Arial"/>
        </w:rPr>
      </w:pPr>
      <w:r w:rsidRPr="00F01E72">
        <w:rPr>
          <w:rFonts w:cs="Arial"/>
        </w:rPr>
        <w:t>Démographie des pharmaciens</w:t>
      </w:r>
    </w:p>
    <w:p w:rsidR="00411C5E" w:rsidRPr="00F01E72" w:rsidRDefault="00411C5E" w:rsidP="00411C5E">
      <w:pPr>
        <w:pStyle w:val="Sansinterligne"/>
        <w:rPr>
          <w:rFonts w:eastAsia="Times New Roman" w:cs="Arial"/>
          <w:color w:val="000000"/>
          <w:lang w:eastAsia="fr-FR"/>
        </w:rPr>
      </w:pPr>
      <w:r w:rsidRPr="00F01E72">
        <w:rPr>
          <w:rFonts w:eastAsia="Times New Roman" w:cs="Arial"/>
          <w:color w:val="000000"/>
          <w:lang w:eastAsia="fr-FR"/>
        </w:rPr>
        <w:t>Evolution du prix de cession</w:t>
      </w:r>
    </w:p>
    <w:p w:rsidR="00411C5E" w:rsidRPr="00F01E72" w:rsidRDefault="00411C5E" w:rsidP="00411C5E">
      <w:pPr>
        <w:pStyle w:val="Sansinterligne"/>
      </w:pPr>
      <w:r w:rsidRPr="00F01E72">
        <w:t>Groupements de pharmaciens</w:t>
      </w:r>
    </w:p>
    <w:p w:rsidR="00411C5E" w:rsidRPr="00F01E72" w:rsidRDefault="00411C5E" w:rsidP="00411C5E">
      <w:pPr>
        <w:pStyle w:val="Sansinterligne"/>
      </w:pPr>
    </w:p>
    <w:p w:rsidR="00411C5E" w:rsidRPr="00F01E72" w:rsidRDefault="00411C5E" w:rsidP="00411C5E">
      <w:r w:rsidRPr="00F01E72">
        <w:t xml:space="preserve">3) Evolution du nombre de pharmacies, les pharmacies en Europe, </w:t>
      </w:r>
    </w:p>
    <w:p w:rsidR="00411C5E" w:rsidRPr="00F01E72" w:rsidRDefault="00411C5E" w:rsidP="00411C5E">
      <w:pPr>
        <w:pStyle w:val="Sansinterligne"/>
      </w:pPr>
      <w:r w:rsidRPr="00F01E72">
        <w:rPr>
          <w:rFonts w:eastAsia="Times New Roman" w:cs="Arial"/>
          <w:color w:val="000000"/>
          <w:lang w:eastAsia="fr-FR"/>
        </w:rPr>
        <w:t>4</w:t>
      </w:r>
      <w:r w:rsidRPr="00F01E72">
        <w:t xml:space="preserve">) Réglementation </w:t>
      </w:r>
    </w:p>
    <w:p w:rsidR="00411C5E" w:rsidRPr="00F01E72" w:rsidRDefault="00411C5E" w:rsidP="00411C5E">
      <w:pPr>
        <w:pStyle w:val="Sansinterligne"/>
      </w:pPr>
    </w:p>
    <w:p w:rsidR="00411C5E" w:rsidRPr="00F01E72" w:rsidRDefault="00411C5E" w:rsidP="00411C5E">
      <w:pPr>
        <w:pStyle w:val="Sansinterligne"/>
      </w:pPr>
      <w:r w:rsidRPr="00F01E72">
        <w:t>5) Acteurs de la transaction d’officine</w:t>
      </w:r>
    </w:p>
    <w:p w:rsidR="00E40623" w:rsidRDefault="00E40623">
      <w:pPr>
        <w:rPr>
          <w:b/>
        </w:rPr>
      </w:pPr>
    </w:p>
    <w:p w:rsidR="00BF6524" w:rsidRDefault="00BF6524">
      <w:pPr>
        <w:rPr>
          <w:b/>
        </w:rPr>
      </w:pPr>
    </w:p>
    <w:p w:rsidR="00BF6524" w:rsidRDefault="00BF6524">
      <w:pPr>
        <w:rPr>
          <w:b/>
        </w:rPr>
      </w:pPr>
    </w:p>
    <w:p w:rsidR="00BF6524" w:rsidRDefault="00BF6524">
      <w:pPr>
        <w:rPr>
          <w:b/>
        </w:rPr>
      </w:pPr>
    </w:p>
    <w:p w:rsidR="00E40623" w:rsidRPr="00953477" w:rsidRDefault="00933B9C">
      <w:pPr>
        <w:rPr>
          <w:rFonts w:cs="Arial"/>
          <w:b/>
        </w:rPr>
      </w:pPr>
      <w:r w:rsidRPr="00953477">
        <w:rPr>
          <w:rFonts w:cs="Arial"/>
          <w:b/>
        </w:rPr>
        <w:t xml:space="preserve">1) </w:t>
      </w:r>
      <w:r w:rsidR="00E40623" w:rsidRPr="00953477">
        <w:rPr>
          <w:rFonts w:cs="Arial"/>
          <w:b/>
        </w:rPr>
        <w:t>Poids de la santé et des médicaments dans l’économie française</w:t>
      </w:r>
    </w:p>
    <w:p w:rsidR="00E40623" w:rsidRPr="00953477" w:rsidRDefault="00E40623">
      <w:pPr>
        <w:rPr>
          <w:rFonts w:cs="Arial"/>
          <w:b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072901A4" wp14:editId="4B30B330">
            <wp:extent cx="5760720" cy="1903596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23" w:rsidRDefault="00E40623" w:rsidP="00E40623">
      <w:pPr>
        <w:rPr>
          <w:rFonts w:cs="Arial"/>
        </w:rPr>
      </w:pPr>
      <w:r w:rsidRPr="00953477">
        <w:rPr>
          <w:rFonts w:cs="Arial"/>
        </w:rPr>
        <w:t>Source : Insee</w:t>
      </w:r>
    </w:p>
    <w:p w:rsidR="00BF6524" w:rsidRDefault="00BF6524" w:rsidP="00E40623">
      <w:pPr>
        <w:rPr>
          <w:rFonts w:cs="Arial"/>
        </w:rPr>
      </w:pPr>
      <w:r>
        <w:rPr>
          <w:rFonts w:cs="Arial"/>
        </w:rPr>
        <w:t xml:space="preserve">Malgré les politiques de maitrise des couts de la santé, le budget global continue de croitre en % </w:t>
      </w:r>
      <w:r w:rsidR="0096486F">
        <w:rPr>
          <w:rFonts w:cs="Arial"/>
        </w:rPr>
        <w:t xml:space="preserve">du PIB </w:t>
      </w:r>
      <w:r>
        <w:rPr>
          <w:rFonts w:cs="Arial"/>
        </w:rPr>
        <w:t>du fait des progrès de la médecine et du vieillissement de la population qui en découle.</w:t>
      </w:r>
    </w:p>
    <w:p w:rsidR="0096486F" w:rsidRDefault="0096486F" w:rsidP="00E40623">
      <w:pPr>
        <w:rPr>
          <w:rFonts w:cs="Arial"/>
        </w:rPr>
      </w:pPr>
      <w:r>
        <w:rPr>
          <w:rFonts w:cs="Arial"/>
        </w:rPr>
        <w:t>La percée des médicaments génériques, même si elle est encore limitée, a permis de maitriser le poids de ce budget depuis 2005.</w:t>
      </w:r>
    </w:p>
    <w:p w:rsidR="0096486F" w:rsidRPr="00953477" w:rsidRDefault="0096486F" w:rsidP="00E40623">
      <w:pPr>
        <w:rPr>
          <w:rFonts w:cs="Arial"/>
        </w:rPr>
      </w:pPr>
    </w:p>
    <w:p w:rsidR="0016478A" w:rsidRPr="00953477" w:rsidRDefault="0016478A" w:rsidP="00E40623">
      <w:pPr>
        <w:rPr>
          <w:rFonts w:cs="Arial"/>
          <w:b/>
        </w:rPr>
      </w:pPr>
      <w:r w:rsidRPr="00953477">
        <w:rPr>
          <w:rFonts w:cs="Arial"/>
          <w:b/>
          <w:noProof/>
          <w:lang w:eastAsia="fr-FR"/>
        </w:rPr>
        <w:lastRenderedPageBreak/>
        <w:drawing>
          <wp:inline distT="0" distB="0" distL="0" distR="0" wp14:anchorId="265724A3" wp14:editId="78253FC7">
            <wp:extent cx="2579370" cy="39852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623" w:rsidRDefault="0016478A" w:rsidP="00E40623">
      <w:pPr>
        <w:rPr>
          <w:rFonts w:cs="Arial"/>
        </w:rPr>
      </w:pPr>
      <w:r w:rsidRPr="00953477">
        <w:rPr>
          <w:rFonts w:cs="Arial"/>
        </w:rPr>
        <w:t>Il est très vraisemblable</w:t>
      </w:r>
      <w:r w:rsidR="001D3908" w:rsidRPr="00953477">
        <w:rPr>
          <w:rFonts w:cs="Arial"/>
        </w:rPr>
        <w:t xml:space="preserve"> que les dépenses de santé en France en % du PIB évolueront peu</w:t>
      </w:r>
      <w:r w:rsidR="00DA3ECF">
        <w:rPr>
          <w:rFonts w:cs="Arial"/>
        </w:rPr>
        <w:t xml:space="preserve">, mais </w:t>
      </w:r>
      <w:r w:rsidR="001D3908" w:rsidRPr="00953477">
        <w:rPr>
          <w:rFonts w:cs="Arial"/>
        </w:rPr>
        <w:t xml:space="preserve"> </w:t>
      </w:r>
      <w:r w:rsidR="00DA3ECF">
        <w:rPr>
          <w:rFonts w:cs="Arial"/>
        </w:rPr>
        <w:t xml:space="preserve">à la hausse, </w:t>
      </w:r>
      <w:r w:rsidR="001D3908" w:rsidRPr="00953477">
        <w:rPr>
          <w:rFonts w:cs="Arial"/>
        </w:rPr>
        <w:t xml:space="preserve">dans la mesure où la France est plutôt dans la moyenne des pays européens similaires et où un large consensus </w:t>
      </w:r>
      <w:r w:rsidR="00977A19" w:rsidRPr="00953477">
        <w:rPr>
          <w:rFonts w:cs="Arial"/>
        </w:rPr>
        <w:t xml:space="preserve">politique </w:t>
      </w:r>
      <w:r w:rsidR="001D3908" w:rsidRPr="00953477">
        <w:rPr>
          <w:rFonts w:cs="Arial"/>
        </w:rPr>
        <w:t>existe sur l’importance du budget à lui accorder.</w:t>
      </w:r>
    </w:p>
    <w:p w:rsidR="00DA3ECF" w:rsidRPr="00953477" w:rsidRDefault="00DA3ECF" w:rsidP="00E40623">
      <w:pPr>
        <w:rPr>
          <w:rFonts w:cs="Arial"/>
        </w:rPr>
      </w:pPr>
      <w:r>
        <w:rPr>
          <w:rFonts w:cs="Arial"/>
        </w:rPr>
        <w:t xml:space="preserve">L’écart entre la mesure des dépenses de santé en 2007-2008 vus par l’Insee et par Eurostat est dû à une différence de périmètres du marché ; nous estimons que la tendance </w:t>
      </w:r>
      <w:r w:rsidR="00291E05">
        <w:rPr>
          <w:rFonts w:cs="Arial"/>
        </w:rPr>
        <w:t>demeure</w:t>
      </w:r>
      <w:r>
        <w:rPr>
          <w:rFonts w:cs="Arial"/>
        </w:rPr>
        <w:t xml:space="preserve">. </w:t>
      </w:r>
    </w:p>
    <w:p w:rsidR="001D3908" w:rsidRPr="00953477" w:rsidRDefault="001D3908" w:rsidP="00E40623">
      <w:pPr>
        <w:rPr>
          <w:rFonts w:cs="Arial"/>
        </w:rPr>
      </w:pPr>
    </w:p>
    <w:p w:rsidR="00E40623" w:rsidRPr="00B51F98" w:rsidRDefault="00933B9C" w:rsidP="00E40623">
      <w:pPr>
        <w:rPr>
          <w:rFonts w:cs="Arial"/>
          <w:b/>
        </w:rPr>
      </w:pPr>
      <w:r w:rsidRPr="00953477">
        <w:rPr>
          <w:rFonts w:cs="Arial"/>
          <w:b/>
        </w:rPr>
        <w:t xml:space="preserve">2) </w:t>
      </w:r>
      <w:r w:rsidR="00B51F98" w:rsidRPr="00B51F98">
        <w:rPr>
          <w:b/>
        </w:rPr>
        <w:t>Pharmacies et pharmaciens</w:t>
      </w:r>
    </w:p>
    <w:p w:rsidR="00B51F98" w:rsidRDefault="00B41F5E" w:rsidP="00B51F98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953477">
        <w:rPr>
          <w:rFonts w:cs="Arial"/>
        </w:rPr>
        <w:t>N</w:t>
      </w:r>
      <w:r w:rsidR="00977A19" w:rsidRPr="00953477">
        <w:rPr>
          <w:rFonts w:cs="Arial"/>
        </w:rPr>
        <w:t>om</w:t>
      </w:r>
      <w:r w:rsidRPr="00953477">
        <w:rPr>
          <w:rFonts w:cs="Arial"/>
        </w:rPr>
        <w:t>bre de pharmacies en France : 22.500</w:t>
      </w:r>
      <w:r w:rsidR="00B51F98" w:rsidRPr="00B51F98">
        <w:rPr>
          <w:rFonts w:cs="Arial"/>
          <w:bCs/>
          <w:color w:val="000000"/>
        </w:rPr>
        <w:t xml:space="preserve"> </w:t>
      </w:r>
    </w:p>
    <w:p w:rsidR="009910FF" w:rsidRDefault="00B51F98" w:rsidP="00B51F98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B51F98">
        <w:rPr>
          <w:rFonts w:cs="Arial"/>
          <w:bCs/>
          <w:color w:val="000000"/>
        </w:rPr>
        <w:t>Nombre de pharmaciens : 73</w:t>
      </w:r>
      <w:r>
        <w:rPr>
          <w:rFonts w:cs="Arial"/>
          <w:bCs/>
          <w:color w:val="000000"/>
        </w:rPr>
        <w:t> </w:t>
      </w:r>
      <w:r w:rsidRPr="00B51F98">
        <w:rPr>
          <w:rFonts w:cs="Arial"/>
          <w:bCs/>
          <w:color w:val="000000"/>
        </w:rPr>
        <w:t>829</w:t>
      </w:r>
    </w:p>
    <w:p w:rsidR="00B51F98" w:rsidRPr="00B51F98" w:rsidRDefault="00B51F98" w:rsidP="00B51F98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5"/>
      </w:tblGrid>
      <w:tr w:rsidR="0016478A" w:rsidRPr="00953477" w:rsidTr="00F652C1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78A" w:rsidRPr="00953477" w:rsidRDefault="0016478A" w:rsidP="00F652C1">
            <w:pPr>
              <w:spacing w:after="0" w:line="240" w:lineRule="auto"/>
              <w:ind w:right="-2010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>Chiffres-clés d'une pharmacie au 1</w:t>
            </w:r>
            <w:r w:rsidRPr="00953477">
              <w:rPr>
                <w:rFonts w:eastAsia="Times New Roman" w:cs="Arial"/>
                <w:b/>
                <w:bCs/>
                <w:color w:val="000000"/>
                <w:vertAlign w:val="superscript"/>
                <w:lang w:eastAsia="fr-FR"/>
              </w:rPr>
              <w:t>er</w:t>
            </w: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 Janvier 2011 :</w:t>
            </w:r>
          </w:p>
        </w:tc>
      </w:tr>
      <w:tr w:rsidR="0016478A" w:rsidRPr="00953477" w:rsidTr="00F652C1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8A" w:rsidRPr="00953477" w:rsidRDefault="0016478A" w:rsidP="00F652C1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- Chiffre d'affaires moyen H.T.  : 1.589 K€.</w:t>
            </w:r>
          </w:p>
        </w:tc>
      </w:tr>
      <w:tr w:rsidR="0016478A" w:rsidRPr="00953477" w:rsidTr="00F652C1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78A" w:rsidRPr="00953477" w:rsidRDefault="0016478A" w:rsidP="00F652C1">
            <w:pPr>
              <w:spacing w:after="0" w:line="240" w:lineRule="auto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- Prix moyen =  1 700* 0,86 = 1 462 K€</w:t>
            </w:r>
          </w:p>
        </w:tc>
      </w:tr>
    </w:tbl>
    <w:p w:rsidR="0016478A" w:rsidRPr="00953477" w:rsidRDefault="0016478A" w:rsidP="0016478A">
      <w:pPr>
        <w:spacing w:after="0" w:line="240" w:lineRule="auto"/>
        <w:rPr>
          <w:rFonts w:eastAsia="Times New Roman" w:cs="Arial"/>
          <w:color w:val="000000"/>
          <w:lang w:eastAsia="fr-FR"/>
        </w:rPr>
      </w:pPr>
      <w:r w:rsidRPr="00953477">
        <w:rPr>
          <w:rFonts w:eastAsia="Times New Roman" w:cs="Arial"/>
          <w:color w:val="000000"/>
          <w:lang w:eastAsia="fr-FR"/>
        </w:rPr>
        <w:t>Sources : Pharmacies-Moyennes-Professionnelles-KPMG-2011 sur 436 officines</w:t>
      </w:r>
    </w:p>
    <w:p w:rsidR="0016478A" w:rsidRPr="00953477" w:rsidRDefault="0016478A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  <w:r w:rsidRPr="00953477">
        <w:rPr>
          <w:rFonts w:cs="Arial"/>
          <w:b/>
          <w:bCs/>
          <w:iCs/>
          <w:color w:val="000000"/>
        </w:rPr>
        <w:t>Réparti</w:t>
      </w:r>
      <w:r w:rsidR="0016478A" w:rsidRPr="00953477">
        <w:rPr>
          <w:rFonts w:cs="Arial"/>
          <w:b/>
          <w:bCs/>
          <w:iCs/>
          <w:color w:val="000000"/>
        </w:rPr>
        <w:t>tion des pharmaciens par type d’activité</w:t>
      </w:r>
      <w:r w:rsidRPr="00953477">
        <w:rPr>
          <w:rFonts w:cs="Arial"/>
          <w:b/>
          <w:bCs/>
          <w:iCs/>
          <w:color w:val="000000"/>
        </w:rPr>
        <w:t>, au 1er janvier 2007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  <w:highlight w:val="yellow"/>
        </w:rPr>
        <w:t>Section A : Titulaires d’officine</w:t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  <w:t>38,2 %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</w:rPr>
        <w:t>Section B : Industrie (Fabricants, importateurs, exploitants)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  <w:t>4,5 %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</w:rPr>
        <w:t>Section C : Vente ou distribution en gros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  <w:t xml:space="preserve"> 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  <w:t>2,0 %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  <w:highlight w:val="yellow"/>
        </w:rPr>
        <w:t>Section D : Adjoints, mutualistes et divers</w:t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</w:r>
      <w:r w:rsidRPr="00953477">
        <w:rPr>
          <w:rFonts w:cs="Arial"/>
          <w:color w:val="000000"/>
          <w:highlight w:val="yellow"/>
        </w:rPr>
        <w:tab/>
        <w:t>35,7 %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</w:rPr>
        <w:t>Section E : DOM et collectivités territoriales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  <w:t>2,0 %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</w:rPr>
        <w:t>Section G : Biologistes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  <w:t>10,9 %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953477">
        <w:rPr>
          <w:rFonts w:cs="Arial"/>
          <w:color w:val="000000"/>
        </w:rPr>
        <w:t>Section H : Etablissements de santé publics et privés et assimilés</w:t>
      </w:r>
      <w:r w:rsidRPr="00953477">
        <w:rPr>
          <w:rFonts w:cs="Arial"/>
          <w:color w:val="000000"/>
        </w:rPr>
        <w:tab/>
        <w:t xml:space="preserve"> 6,7 %</w:t>
      </w:r>
    </w:p>
    <w:p w:rsidR="00B6341E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953477">
        <w:rPr>
          <w:rFonts w:cs="Arial"/>
          <w:color w:val="000000"/>
        </w:rPr>
        <w:lastRenderedPageBreak/>
        <w:t xml:space="preserve">Ensemble de ces sections </w:t>
      </w:r>
      <w:r w:rsidRPr="00953477">
        <w:rPr>
          <w:rFonts w:cs="Arial"/>
          <w:color w:val="000000"/>
        </w:rPr>
        <w:tab/>
      </w:r>
      <w:r w:rsidRPr="00953477">
        <w:rPr>
          <w:rFonts w:cs="Arial"/>
          <w:color w:val="000000"/>
        </w:rPr>
        <w:tab/>
      </w:r>
      <w:r w:rsidR="00B51F98">
        <w:rPr>
          <w:rFonts w:cs="Arial"/>
          <w:color w:val="000000"/>
        </w:rPr>
        <w:tab/>
      </w:r>
      <w:r w:rsidRPr="00953477">
        <w:rPr>
          <w:rFonts w:cs="Arial"/>
          <w:b/>
          <w:bCs/>
          <w:color w:val="000000"/>
        </w:rPr>
        <w:tab/>
      </w:r>
      <w:r w:rsidRPr="00953477">
        <w:rPr>
          <w:rFonts w:cs="Arial"/>
          <w:b/>
          <w:bCs/>
          <w:color w:val="000000"/>
        </w:rPr>
        <w:tab/>
      </w:r>
      <w:r w:rsidRPr="00953477">
        <w:rPr>
          <w:rFonts w:cs="Arial"/>
          <w:b/>
          <w:bCs/>
          <w:color w:val="000000"/>
        </w:rPr>
        <w:tab/>
      </w:r>
      <w:r w:rsidRPr="00953477">
        <w:rPr>
          <w:rFonts w:cs="Arial"/>
          <w:b/>
          <w:bCs/>
          <w:color w:val="000000"/>
        </w:rPr>
        <w:tab/>
        <w:t>100,0 %</w:t>
      </w:r>
    </w:p>
    <w:p w:rsidR="00B51F98" w:rsidRPr="00953477" w:rsidRDefault="00B51F98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91E05" w:rsidRPr="00953477" w:rsidRDefault="00291E05" w:rsidP="00291E05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953477">
        <w:rPr>
          <w:rFonts w:cs="Arial"/>
          <w:iCs/>
          <w:color w:val="000000"/>
        </w:rPr>
        <w:t>Source : Ordre des Pharmaciens</w:t>
      </w:r>
    </w:p>
    <w:p w:rsidR="00B6341E" w:rsidRPr="00953477" w:rsidRDefault="00B6341E" w:rsidP="00E40623">
      <w:pPr>
        <w:rPr>
          <w:rFonts w:cs="Arial"/>
        </w:rPr>
      </w:pPr>
    </w:p>
    <w:p w:rsidR="00B6341E" w:rsidRPr="00953477" w:rsidRDefault="00B6341E" w:rsidP="00B6341E">
      <w:pPr>
        <w:rPr>
          <w:rFonts w:cs="Arial"/>
          <w:b/>
        </w:rPr>
      </w:pPr>
      <w:r w:rsidRPr="00953477">
        <w:rPr>
          <w:rFonts w:cs="Arial"/>
          <w:b/>
        </w:rPr>
        <w:t>Répartition des pharmacies par chiffre d’affaire</w:t>
      </w:r>
    </w:p>
    <w:tbl>
      <w:tblPr>
        <w:tblW w:w="6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824"/>
        <w:gridCol w:w="1536"/>
        <w:gridCol w:w="1200"/>
      </w:tblGrid>
      <w:tr w:rsidR="00B51F98" w:rsidRPr="00953477" w:rsidTr="00B51F98">
        <w:trPr>
          <w:trHeight w:val="6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>Tranche de CA en K€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>Médiane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Cession en </w:t>
            </w: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>% du CA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b/>
                <w:bCs/>
                <w:color w:val="000000"/>
                <w:lang w:eastAsia="fr-FR"/>
              </w:rPr>
              <w:t>Prix vente</w:t>
            </w:r>
          </w:p>
        </w:tc>
      </w:tr>
      <w:tr w:rsidR="00B51F98" w:rsidRPr="00953477" w:rsidTr="00B51F98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400-800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72%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432</w:t>
            </w:r>
          </w:p>
        </w:tc>
      </w:tr>
      <w:tr w:rsidR="00B51F98" w:rsidRPr="00953477" w:rsidTr="00B51F98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800-1200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79%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790</w:t>
            </w:r>
          </w:p>
        </w:tc>
      </w:tr>
      <w:tr w:rsidR="00B51F98" w:rsidRPr="00953477" w:rsidTr="00B51F98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1200-1600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87%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1218</w:t>
            </w:r>
          </w:p>
        </w:tc>
      </w:tr>
      <w:tr w:rsidR="00B51F98" w:rsidRPr="00953477" w:rsidTr="00B51F98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1600-2000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90%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1620</w:t>
            </w:r>
          </w:p>
        </w:tc>
      </w:tr>
      <w:tr w:rsidR="00B51F98" w:rsidRPr="00953477" w:rsidTr="00B51F98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Plus de 2000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3000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92%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98" w:rsidRPr="00953477" w:rsidRDefault="00B51F98" w:rsidP="00C619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fr-FR"/>
              </w:rPr>
            </w:pPr>
            <w:r w:rsidRPr="00953477">
              <w:rPr>
                <w:rFonts w:eastAsia="Times New Roman" w:cs="Arial"/>
                <w:color w:val="000000"/>
                <w:lang w:eastAsia="fr-FR"/>
              </w:rPr>
              <w:t>2760</w:t>
            </w:r>
          </w:p>
        </w:tc>
      </w:tr>
    </w:tbl>
    <w:p w:rsidR="00B6341E" w:rsidRPr="00953477" w:rsidRDefault="00B6341E" w:rsidP="00B6341E">
      <w:pPr>
        <w:rPr>
          <w:rFonts w:cs="Arial"/>
        </w:rPr>
      </w:pPr>
    </w:p>
    <w:p w:rsidR="00063B0C" w:rsidRPr="00953477" w:rsidRDefault="00063B0C" w:rsidP="00063B0C">
      <w:pPr>
        <w:rPr>
          <w:rFonts w:cs="Arial"/>
          <w:b/>
        </w:rPr>
      </w:pPr>
      <w:r w:rsidRPr="00953477">
        <w:rPr>
          <w:rFonts w:cs="Arial"/>
          <w:b/>
        </w:rPr>
        <w:t>Répartition MARGE BRUTE PHARMACIES, CA en 2006 et 2009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1809"/>
      </w:tblGrid>
      <w:tr w:rsidR="00063B0C" w:rsidRPr="00953477" w:rsidTr="00B51F98">
        <w:tc>
          <w:tcPr>
            <w:tcW w:w="336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Type</w:t>
            </w:r>
          </w:p>
        </w:tc>
        <w:tc>
          <w:tcPr>
            <w:tcW w:w="1984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% de marge brute totale 2006</w:t>
            </w:r>
          </w:p>
        </w:tc>
        <w:tc>
          <w:tcPr>
            <w:tcW w:w="2126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% de marge brute totale 2009</w:t>
            </w:r>
          </w:p>
        </w:tc>
        <w:tc>
          <w:tcPr>
            <w:tcW w:w="180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% du CA 2009</w:t>
            </w:r>
          </w:p>
        </w:tc>
      </w:tr>
      <w:tr w:rsidR="00063B0C" w:rsidRPr="00953477" w:rsidTr="00B51F98">
        <w:tc>
          <w:tcPr>
            <w:tcW w:w="336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Médicament remboursable</w:t>
            </w:r>
          </w:p>
        </w:tc>
        <w:tc>
          <w:tcPr>
            <w:tcW w:w="1984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75</w:t>
            </w:r>
          </w:p>
        </w:tc>
        <w:tc>
          <w:tcPr>
            <w:tcW w:w="2126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70%</w:t>
            </w:r>
          </w:p>
        </w:tc>
        <w:tc>
          <w:tcPr>
            <w:tcW w:w="180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80%</w:t>
            </w:r>
          </w:p>
        </w:tc>
      </w:tr>
      <w:tr w:rsidR="00063B0C" w:rsidRPr="00953477" w:rsidTr="00B51F98">
        <w:tc>
          <w:tcPr>
            <w:tcW w:w="336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Médicament non remboursable</w:t>
            </w:r>
          </w:p>
        </w:tc>
        <w:tc>
          <w:tcPr>
            <w:tcW w:w="1984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8</w:t>
            </w:r>
          </w:p>
        </w:tc>
        <w:tc>
          <w:tcPr>
            <w:tcW w:w="2126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9%</w:t>
            </w:r>
          </w:p>
        </w:tc>
        <w:tc>
          <w:tcPr>
            <w:tcW w:w="180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5%</w:t>
            </w:r>
          </w:p>
        </w:tc>
      </w:tr>
      <w:tr w:rsidR="00063B0C" w:rsidRPr="00953477" w:rsidTr="00B51F98">
        <w:tc>
          <w:tcPr>
            <w:tcW w:w="336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Autres</w:t>
            </w:r>
            <w:r w:rsidR="00933B9C" w:rsidRPr="00953477">
              <w:rPr>
                <w:rFonts w:ascii="Arial" w:hAnsi="Arial" w:cs="Arial"/>
              </w:rPr>
              <w:t>,</w:t>
            </w:r>
            <w:r w:rsidRPr="00953477">
              <w:rPr>
                <w:rFonts w:ascii="Arial" w:hAnsi="Arial" w:cs="Arial"/>
              </w:rPr>
              <w:t xml:space="preserve"> homéopathie….</w:t>
            </w:r>
          </w:p>
        </w:tc>
        <w:tc>
          <w:tcPr>
            <w:tcW w:w="1984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17</w:t>
            </w:r>
          </w:p>
        </w:tc>
        <w:tc>
          <w:tcPr>
            <w:tcW w:w="2126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21%</w:t>
            </w:r>
          </w:p>
        </w:tc>
        <w:tc>
          <w:tcPr>
            <w:tcW w:w="1809" w:type="dxa"/>
          </w:tcPr>
          <w:p w:rsidR="00063B0C" w:rsidRPr="00953477" w:rsidRDefault="00063B0C" w:rsidP="0035790C">
            <w:pPr>
              <w:jc w:val="center"/>
              <w:rPr>
                <w:rFonts w:ascii="Arial" w:hAnsi="Arial" w:cs="Arial"/>
              </w:rPr>
            </w:pPr>
            <w:r w:rsidRPr="00953477">
              <w:rPr>
                <w:rFonts w:ascii="Arial" w:hAnsi="Arial" w:cs="Arial"/>
              </w:rPr>
              <w:t>15</w:t>
            </w:r>
          </w:p>
        </w:tc>
      </w:tr>
    </w:tbl>
    <w:p w:rsidR="00C42FDE" w:rsidRPr="00953477" w:rsidRDefault="00C42FDE" w:rsidP="00E40623">
      <w:pPr>
        <w:rPr>
          <w:rFonts w:cs="Arial"/>
          <w:b/>
        </w:rPr>
      </w:pPr>
    </w:p>
    <w:p w:rsidR="00977A19" w:rsidRPr="00953477" w:rsidRDefault="00977A19" w:rsidP="00E40623">
      <w:pPr>
        <w:rPr>
          <w:rFonts w:cs="Arial"/>
        </w:rPr>
      </w:pPr>
      <w:r w:rsidRPr="00953477">
        <w:rPr>
          <w:rFonts w:cs="Arial"/>
        </w:rPr>
        <w:t>Les efforts demandés par la SS aux pharmacies entrainent une baisse de rentabilité des médicaments remboursés.</w:t>
      </w:r>
      <w:r w:rsidR="002D47FD">
        <w:rPr>
          <w:rFonts w:cs="Arial"/>
        </w:rPr>
        <w:t xml:space="preserve"> </w:t>
      </w:r>
    </w:p>
    <w:p w:rsidR="00B51F98" w:rsidRDefault="00B51F98" w:rsidP="00E40623">
      <w:pPr>
        <w:rPr>
          <w:rFonts w:cs="Arial"/>
          <w:b/>
        </w:rPr>
      </w:pPr>
    </w:p>
    <w:p w:rsidR="00B6341E" w:rsidRPr="00953477" w:rsidRDefault="00B6341E" w:rsidP="00E40623">
      <w:pPr>
        <w:rPr>
          <w:rFonts w:cs="Arial"/>
          <w:b/>
        </w:rPr>
      </w:pPr>
      <w:r w:rsidRPr="00953477">
        <w:rPr>
          <w:rFonts w:cs="Arial"/>
          <w:b/>
        </w:rPr>
        <w:t xml:space="preserve">Démographie </w:t>
      </w:r>
      <w:r w:rsidR="0016478A" w:rsidRPr="00953477">
        <w:rPr>
          <w:rFonts w:cs="Arial"/>
          <w:b/>
        </w:rPr>
        <w:t>des pharmaciens</w:t>
      </w:r>
    </w:p>
    <w:p w:rsidR="006C746D" w:rsidRPr="00953477" w:rsidRDefault="00B41F5E">
      <w:pPr>
        <w:rPr>
          <w:rFonts w:cs="Arial"/>
        </w:rPr>
      </w:pPr>
      <w:r w:rsidRPr="00953477">
        <w:rPr>
          <w:rFonts w:cs="Arial"/>
        </w:rPr>
        <w:t xml:space="preserve">La vague du baby-boom arrive </w:t>
      </w:r>
    </w:p>
    <w:p w:rsidR="006C746D" w:rsidRPr="00953477" w:rsidRDefault="006C746D">
      <w:pPr>
        <w:rPr>
          <w:rFonts w:cs="Arial"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480CA8D5" wp14:editId="28B5D0D1">
            <wp:extent cx="4790364" cy="2820437"/>
            <wp:effectExtent l="0" t="0" r="0" b="0"/>
            <wp:docPr id="51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7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42" cy="282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40623" w:rsidRPr="00953477" w:rsidRDefault="00977A19" w:rsidP="00B6341E">
      <w:pPr>
        <w:rPr>
          <w:rFonts w:cs="Arial"/>
        </w:rPr>
      </w:pPr>
      <w:r w:rsidRPr="00953477">
        <w:rPr>
          <w:rFonts w:cs="Arial"/>
        </w:rPr>
        <w:lastRenderedPageBreak/>
        <w:t>Le nom</w:t>
      </w:r>
      <w:r w:rsidR="00E40623" w:rsidRPr="00953477">
        <w:rPr>
          <w:rFonts w:cs="Arial"/>
        </w:rPr>
        <w:t xml:space="preserve">bre de transactions </w:t>
      </w:r>
      <w:r w:rsidR="0016478A" w:rsidRPr="00953477">
        <w:rPr>
          <w:rFonts w:cs="Arial"/>
        </w:rPr>
        <w:t>de pharmacies /</w:t>
      </w:r>
      <w:r w:rsidR="00E40623" w:rsidRPr="00953477">
        <w:rPr>
          <w:rFonts w:cs="Arial"/>
        </w:rPr>
        <w:t xml:space="preserve"> an : 5% de la population soit ≈ 1000</w:t>
      </w:r>
      <w:r w:rsidR="007C65AF">
        <w:rPr>
          <w:rFonts w:cs="Arial"/>
        </w:rPr>
        <w:t xml:space="preserve"> à 1100</w:t>
      </w:r>
      <w:r w:rsidRPr="00953477">
        <w:rPr>
          <w:rFonts w:cs="Arial"/>
        </w:rPr>
        <w:t xml:space="preserve"> ; ce chiffre pourrait croitre </w:t>
      </w:r>
      <w:r w:rsidR="002D47FD" w:rsidRPr="00953477">
        <w:rPr>
          <w:rFonts w:cs="Arial"/>
        </w:rPr>
        <w:t>légèrement</w:t>
      </w:r>
      <w:r w:rsidRPr="00953477">
        <w:rPr>
          <w:rFonts w:cs="Arial"/>
        </w:rPr>
        <w:t>.</w:t>
      </w:r>
    </w:p>
    <w:p w:rsidR="007C65AF" w:rsidRDefault="00977A19" w:rsidP="00B6341E">
      <w:pPr>
        <w:rPr>
          <w:rFonts w:cs="Arial"/>
        </w:rPr>
      </w:pPr>
      <w:r w:rsidRPr="00953477">
        <w:rPr>
          <w:rFonts w:cs="Arial"/>
        </w:rPr>
        <w:t>Le pic observé en 2006 a été généré par l’attente du marché d’une déréglementation du marché par Bruxelles (règle « une pharmacie- un pharmacien ») qui avait entrainé une hausse  des prix de cession et donc des transactions.</w:t>
      </w:r>
      <w:r w:rsidR="002D47FD">
        <w:rPr>
          <w:rFonts w:cs="Arial"/>
        </w:rPr>
        <w:t xml:space="preserve"> </w:t>
      </w:r>
    </w:p>
    <w:p w:rsidR="00977A19" w:rsidRPr="00953477" w:rsidRDefault="002D47FD" w:rsidP="00B6341E">
      <w:pPr>
        <w:rPr>
          <w:rFonts w:cs="Arial"/>
        </w:rPr>
      </w:pPr>
      <w:r>
        <w:rPr>
          <w:rFonts w:cs="Arial"/>
        </w:rPr>
        <w:t>Cette déréglementation n’étant pas intervenue le volume de pharmacies cédées est revenu au niveau précédent de 1100 cessions /an.</w:t>
      </w:r>
    </w:p>
    <w:p w:rsidR="006C746D" w:rsidRPr="00953477" w:rsidRDefault="006C746D">
      <w:pPr>
        <w:rPr>
          <w:rFonts w:cs="Arial"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6218A8CE" wp14:editId="6710E098">
            <wp:extent cx="4444410" cy="3274007"/>
            <wp:effectExtent l="0" t="0" r="0" b="3175"/>
            <wp:docPr id="61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006" cy="327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40623" w:rsidRPr="00953477" w:rsidRDefault="00E40623">
      <w:pPr>
        <w:rPr>
          <w:rFonts w:cs="Arial"/>
          <w:b/>
        </w:rPr>
      </w:pPr>
    </w:p>
    <w:p w:rsidR="006C746D" w:rsidRPr="00953477" w:rsidRDefault="00C42FDE" w:rsidP="006C746D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953477">
        <w:rPr>
          <w:rFonts w:eastAsia="Times New Roman" w:cs="Arial"/>
          <w:b/>
          <w:color w:val="000000"/>
          <w:lang w:eastAsia="fr-FR"/>
        </w:rPr>
        <w:t>Evolution du prix de cession</w:t>
      </w:r>
    </w:p>
    <w:p w:rsidR="006C746D" w:rsidRPr="00953477" w:rsidRDefault="006C746D">
      <w:pPr>
        <w:rPr>
          <w:rFonts w:cs="Arial"/>
        </w:rPr>
      </w:pPr>
    </w:p>
    <w:p w:rsidR="00E40623" w:rsidRPr="00953477" w:rsidRDefault="006C746D">
      <w:pPr>
        <w:rPr>
          <w:rFonts w:cs="Arial"/>
          <w:b/>
        </w:rPr>
      </w:pPr>
      <w:r w:rsidRPr="00953477">
        <w:rPr>
          <w:rFonts w:cs="Arial"/>
          <w:noProof/>
          <w:lang w:eastAsia="fr-FR"/>
        </w:rPr>
        <w:lastRenderedPageBreak/>
        <w:drawing>
          <wp:inline distT="0" distB="0" distL="0" distR="0" wp14:anchorId="0D85076E" wp14:editId="437AC321">
            <wp:extent cx="4614531" cy="3328683"/>
            <wp:effectExtent l="0" t="0" r="0" b="5080"/>
            <wp:docPr id="71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452" cy="333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31B26" w:rsidRPr="00953477" w:rsidRDefault="00131B26">
      <w:pPr>
        <w:rPr>
          <w:rFonts w:cs="Arial"/>
          <w:b/>
        </w:rPr>
      </w:pPr>
      <w:r w:rsidRPr="00953477">
        <w:rPr>
          <w:rFonts w:cs="Arial"/>
          <w:b/>
        </w:rPr>
        <w:t>Groupements de pharmaciens</w:t>
      </w:r>
    </w:p>
    <w:p w:rsidR="00953477" w:rsidRPr="00953477" w:rsidRDefault="00953477">
      <w:pPr>
        <w:rPr>
          <w:rFonts w:cs="Arial"/>
        </w:rPr>
      </w:pPr>
      <w:r w:rsidRPr="00953477">
        <w:rPr>
          <w:rFonts w:cs="Arial"/>
        </w:rPr>
        <w:t>Pour rationaliser leurs achats</w:t>
      </w:r>
      <w:r w:rsidR="002D47FD">
        <w:rPr>
          <w:rFonts w:cs="Arial"/>
        </w:rPr>
        <w:t>,</w:t>
      </w:r>
      <w:r w:rsidRPr="00953477">
        <w:rPr>
          <w:rFonts w:cs="Arial"/>
        </w:rPr>
        <w:t xml:space="preserve"> les pharmaciens se sont regroupés pour </w:t>
      </w:r>
      <w:r w:rsidR="002D47FD">
        <w:rPr>
          <w:rFonts w:cs="Arial"/>
        </w:rPr>
        <w:t>une partie</w:t>
      </w:r>
      <w:r w:rsidRPr="00953477">
        <w:rPr>
          <w:rFonts w:cs="Arial"/>
        </w:rPr>
        <w:t xml:space="preserve"> d’entre eux.</w:t>
      </w:r>
      <w:r w:rsidR="002D47FD">
        <w:rPr>
          <w:rFonts w:cs="Arial"/>
        </w:rPr>
        <w:t xml:space="preserve"> Il est à noter que ces groupements ne peuvent pas imposer de contraintes d’achats aux pharmaciens membres.</w:t>
      </w:r>
    </w:p>
    <w:p w:rsidR="00131B26" w:rsidRPr="00953477" w:rsidRDefault="00131B26">
      <w:pPr>
        <w:rPr>
          <w:rFonts w:cs="Arial"/>
          <w:b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579C9D5B" wp14:editId="2E4D9A21">
            <wp:extent cx="4612640" cy="26752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64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B26" w:rsidRPr="00953477" w:rsidRDefault="00131B26" w:rsidP="00131B26">
      <w:pPr>
        <w:rPr>
          <w:rFonts w:cs="Arial"/>
        </w:rPr>
      </w:pPr>
      <w:r w:rsidRPr="00953477">
        <w:rPr>
          <w:rFonts w:cs="Arial"/>
        </w:rPr>
        <w:t>Source Moniteur des Pharmacies : 2006</w:t>
      </w:r>
    </w:p>
    <w:p w:rsidR="00953477" w:rsidRPr="00953477" w:rsidRDefault="00953477" w:rsidP="00131B26">
      <w:pPr>
        <w:rPr>
          <w:rFonts w:cs="Arial"/>
        </w:rPr>
      </w:pPr>
    </w:p>
    <w:p w:rsidR="0016478A" w:rsidRPr="00953477" w:rsidRDefault="0016478A" w:rsidP="0016478A">
      <w:pPr>
        <w:rPr>
          <w:rFonts w:cs="Arial"/>
          <w:b/>
        </w:rPr>
      </w:pPr>
      <w:r w:rsidRPr="00953477">
        <w:rPr>
          <w:rFonts w:cs="Arial"/>
          <w:b/>
        </w:rPr>
        <w:t xml:space="preserve">3) Evolution du nombre de pharmacies, les pharmacies en Europe, </w:t>
      </w:r>
    </w:p>
    <w:p w:rsidR="0016478A" w:rsidRPr="00953477" w:rsidRDefault="0016478A" w:rsidP="0016478A">
      <w:pPr>
        <w:rPr>
          <w:rFonts w:cs="Arial"/>
          <w:b/>
        </w:rPr>
      </w:pPr>
      <w:r w:rsidRPr="00953477">
        <w:rPr>
          <w:rFonts w:cs="Arial"/>
        </w:rPr>
        <w:t>D</w:t>
      </w:r>
      <w:r w:rsidRPr="00953477">
        <w:rPr>
          <w:rFonts w:cs="Arial"/>
          <w:iCs/>
        </w:rPr>
        <w:t>ans son rapport 2008, la Cour des Comptes chiffre à 8000 le nombre d’officines excédentaires sur le territoire national</w:t>
      </w:r>
      <w:r w:rsidRPr="00953477">
        <w:rPr>
          <w:rFonts w:cs="Arial"/>
          <w:b/>
        </w:rPr>
        <w:t>.</w:t>
      </w:r>
    </w:p>
    <w:p w:rsidR="0016478A" w:rsidRPr="00953477" w:rsidRDefault="0016478A" w:rsidP="0016478A">
      <w:pPr>
        <w:rPr>
          <w:rFonts w:cs="Arial"/>
        </w:rPr>
      </w:pPr>
      <w:r w:rsidRPr="00953477">
        <w:rPr>
          <w:rFonts w:cs="Arial"/>
        </w:rPr>
        <w:lastRenderedPageBreak/>
        <w:t>Une baisse du nombre d’officines rendra la distribution de médicaments plus efficace sans pour autant impacter la croissance du CA du médicament constatée (3,8%/an entre 2000 et 2010) ; le CA se répartira sur un nombre plus faible de pharmacies et ainsi augmentera leur valeur moyenne.</w:t>
      </w:r>
    </w:p>
    <w:p w:rsidR="0016478A" w:rsidRDefault="0016478A" w:rsidP="0016478A">
      <w:pPr>
        <w:rPr>
          <w:rFonts w:cs="Arial"/>
          <w:b/>
        </w:rPr>
      </w:pPr>
      <w:r w:rsidRPr="00953477">
        <w:rPr>
          <w:rFonts w:cs="Arial"/>
          <w:b/>
        </w:rPr>
        <w:t xml:space="preserve">Nombre </w:t>
      </w:r>
      <w:r w:rsidR="002D47FD">
        <w:rPr>
          <w:rFonts w:cs="Arial"/>
          <w:b/>
        </w:rPr>
        <w:t>pharmacies/</w:t>
      </w:r>
      <w:r w:rsidR="002D47FD" w:rsidRPr="00953477">
        <w:rPr>
          <w:rFonts w:cs="Arial"/>
          <w:b/>
        </w:rPr>
        <w:t>habita</w:t>
      </w:r>
      <w:r w:rsidR="002D47FD">
        <w:rPr>
          <w:rFonts w:cs="Arial"/>
          <w:b/>
        </w:rPr>
        <w:t xml:space="preserve">nts </w:t>
      </w:r>
      <w:r w:rsidRPr="00953477">
        <w:rPr>
          <w:rFonts w:cs="Arial"/>
          <w:b/>
        </w:rPr>
        <w:t>en Europe</w:t>
      </w:r>
    </w:p>
    <w:p w:rsidR="002D47FD" w:rsidRDefault="002D47FD" w:rsidP="0016478A">
      <w:pPr>
        <w:rPr>
          <w:rFonts w:cs="Arial"/>
          <w:b/>
        </w:rPr>
      </w:pPr>
    </w:p>
    <w:p w:rsidR="002D47FD" w:rsidRPr="00953477" w:rsidRDefault="002D47FD" w:rsidP="0016478A">
      <w:pPr>
        <w:rPr>
          <w:rFonts w:cs="Arial"/>
          <w:b/>
        </w:rPr>
      </w:pPr>
      <w:r>
        <w:rPr>
          <w:noProof/>
          <w:lang w:eastAsia="fr-FR"/>
        </w:rPr>
        <w:drawing>
          <wp:inline distT="0" distB="0" distL="0" distR="0" wp14:anchorId="2514D08A" wp14:editId="2A910039">
            <wp:extent cx="5760720" cy="3775544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478A" w:rsidRPr="00953477" w:rsidRDefault="0016478A" w:rsidP="00B6341E">
      <w:pPr>
        <w:rPr>
          <w:rFonts w:cs="Arial"/>
          <w:b/>
        </w:rPr>
      </w:pPr>
    </w:p>
    <w:p w:rsidR="00B6341E" w:rsidRPr="00953477" w:rsidRDefault="0016478A" w:rsidP="00B6341E">
      <w:pPr>
        <w:rPr>
          <w:rFonts w:cs="Arial"/>
          <w:b/>
        </w:rPr>
      </w:pPr>
      <w:r w:rsidRPr="00953477">
        <w:rPr>
          <w:rFonts w:cs="Arial"/>
          <w:b/>
        </w:rPr>
        <w:t xml:space="preserve">4) </w:t>
      </w:r>
      <w:r w:rsidR="00B6341E" w:rsidRPr="00953477">
        <w:rPr>
          <w:rFonts w:cs="Arial"/>
          <w:b/>
        </w:rPr>
        <w:t>Réglementation</w:t>
      </w:r>
    </w:p>
    <w:p w:rsidR="00B6341E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953477">
        <w:rPr>
          <w:rFonts w:cs="Arial"/>
          <w:b/>
        </w:rPr>
        <w:t>Conditions pour l’exploitation d’une pharmacie d’officine :</w:t>
      </w:r>
    </w:p>
    <w:p w:rsidR="002D47FD" w:rsidRPr="00953477" w:rsidRDefault="002D47FD" w:rsidP="00B6341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953477">
        <w:rPr>
          <w:rFonts w:cs="Arial"/>
        </w:rPr>
        <w:t>Le pharmacien</w:t>
      </w:r>
      <w:r>
        <w:rPr>
          <w:rFonts w:cs="Arial"/>
        </w:rPr>
        <w:t xml:space="preserve"> doit :</w:t>
      </w:r>
    </w:p>
    <w:p w:rsidR="00B6341E" w:rsidRPr="00953477" w:rsidRDefault="002D47FD" w:rsidP="00B6341E">
      <w:pPr>
        <w:autoSpaceDE w:val="0"/>
        <w:autoSpaceDN w:val="0"/>
        <w:adjustRightInd w:val="0"/>
        <w:spacing w:after="0" w:line="240" w:lineRule="auto"/>
        <w:rPr>
          <w:rFonts w:cs="Arial"/>
          <w:iCs/>
        </w:rPr>
      </w:pPr>
      <w:r>
        <w:rPr>
          <w:rFonts w:cs="Arial"/>
        </w:rPr>
        <w:t>1.</w:t>
      </w:r>
      <w:r w:rsidR="00B6341E" w:rsidRPr="00953477">
        <w:rPr>
          <w:rFonts w:cs="Arial"/>
        </w:rPr>
        <w:t xml:space="preserve"> « </w:t>
      </w:r>
      <w:r w:rsidR="00B6341E" w:rsidRPr="00953477">
        <w:rPr>
          <w:rFonts w:cs="Arial"/>
          <w:iCs/>
        </w:rPr>
        <w:t xml:space="preserve">être propriétaire de l’officine dont il est titulaire </w:t>
      </w:r>
      <w:r w:rsidR="00B6341E" w:rsidRPr="00953477">
        <w:rPr>
          <w:rFonts w:cs="Arial"/>
        </w:rPr>
        <w:t>» (article L5125-17). Il ne peut être propriétaire ou copropriétaire</w:t>
      </w:r>
      <w:r w:rsidR="00B6341E" w:rsidRPr="00953477">
        <w:rPr>
          <w:rFonts w:cs="Arial"/>
          <w:iCs/>
        </w:rPr>
        <w:t xml:space="preserve"> </w:t>
      </w:r>
      <w:r w:rsidR="00B6341E" w:rsidRPr="00953477">
        <w:rPr>
          <w:rFonts w:cs="Arial"/>
        </w:rPr>
        <w:t>que d’une seule officine ;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3477">
        <w:rPr>
          <w:rFonts w:cs="Arial"/>
        </w:rPr>
        <w:t xml:space="preserve">2. </w:t>
      </w:r>
      <w:r w:rsidRPr="00953477">
        <w:rPr>
          <w:rFonts w:cs="Arial"/>
          <w:bCs/>
        </w:rPr>
        <w:t>exercer à titre personnel la profession de pharmacien</w:t>
      </w:r>
      <w:r w:rsidRPr="00953477">
        <w:rPr>
          <w:rFonts w:cs="Arial"/>
        </w:rPr>
        <w:t xml:space="preserve">. L’exercice de cette profession est incompatible avec celui d’une autre profession (article L5125-20). 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953477">
        <w:rPr>
          <w:rFonts w:cs="Arial"/>
        </w:rPr>
        <w:t xml:space="preserve">3. </w:t>
      </w:r>
      <w:r w:rsidRPr="00953477">
        <w:rPr>
          <w:rFonts w:cs="Arial"/>
          <w:bCs/>
        </w:rPr>
        <w:t xml:space="preserve">ne vendre que des produits figurant sur la liste arrêtée par le ministère de la santé </w:t>
      </w:r>
      <w:r w:rsidRPr="00953477">
        <w:rPr>
          <w:rFonts w:cs="Arial"/>
        </w:rPr>
        <w:t>(article L5125-24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953477">
        <w:rPr>
          <w:rFonts w:cs="Arial"/>
        </w:rPr>
        <w:t xml:space="preserve">4. </w:t>
      </w:r>
      <w:r w:rsidRPr="00953477">
        <w:rPr>
          <w:rFonts w:cs="Arial"/>
          <w:bCs/>
        </w:rPr>
        <w:t>se faire assister par un ou plusieurs assistants, selon le chiffre d’affaires réalisé</w:t>
      </w:r>
      <w:r w:rsidRPr="00953477">
        <w:rPr>
          <w:rFonts w:cs="Arial"/>
        </w:rPr>
        <w:t xml:space="preserve">. 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3477">
        <w:rPr>
          <w:rFonts w:cs="Arial"/>
        </w:rPr>
        <w:t xml:space="preserve">5. </w:t>
      </w:r>
      <w:r w:rsidRPr="00953477">
        <w:rPr>
          <w:rFonts w:cs="Arial"/>
          <w:bCs/>
        </w:rPr>
        <w:t>remplir certaines conditions de nationalité</w:t>
      </w:r>
      <w:r w:rsidRPr="00953477">
        <w:rPr>
          <w:rFonts w:cs="Arial"/>
        </w:rPr>
        <w:t xml:space="preserve"> (article L5125-8) ;</w:t>
      </w:r>
    </w:p>
    <w:p w:rsidR="00B6341E" w:rsidRPr="00953477" w:rsidRDefault="00B6341E" w:rsidP="00B634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953477">
        <w:rPr>
          <w:rFonts w:cs="Arial"/>
        </w:rPr>
        <w:t xml:space="preserve">6. </w:t>
      </w:r>
      <w:r w:rsidRPr="00953477">
        <w:rPr>
          <w:rFonts w:cs="Arial"/>
          <w:bCs/>
        </w:rPr>
        <w:t xml:space="preserve">être inscrit à l’Ordre National des Pharmaciens </w:t>
      </w:r>
      <w:r w:rsidRPr="00953477">
        <w:rPr>
          <w:rFonts w:cs="Arial"/>
        </w:rPr>
        <w:t>(article L42222-1).</w:t>
      </w:r>
    </w:p>
    <w:p w:rsidR="00131B26" w:rsidRDefault="00131B26">
      <w:pPr>
        <w:rPr>
          <w:rFonts w:cs="Arial"/>
          <w:b/>
        </w:rPr>
      </w:pPr>
    </w:p>
    <w:p w:rsidR="005B6007" w:rsidRPr="005B6007" w:rsidRDefault="005E7B2B">
      <w:pPr>
        <w:rPr>
          <w:rFonts w:cs="Arial"/>
        </w:rPr>
      </w:pPr>
      <w:r>
        <w:rPr>
          <w:rFonts w:cs="Arial"/>
        </w:rPr>
        <w:t>Les pharmaciens ont</w:t>
      </w:r>
      <w:r w:rsidR="005B6007" w:rsidRPr="005B6007">
        <w:rPr>
          <w:rFonts w:cs="Arial"/>
        </w:rPr>
        <w:t xml:space="preserve"> la possibilité d’opter pour </w:t>
      </w:r>
      <w:r w:rsidR="005B6007">
        <w:rPr>
          <w:rFonts w:cs="Arial"/>
        </w:rPr>
        <w:t xml:space="preserve">une mise en société du fonds de commerce de l’officine. La réglementation est en évolution et les professionnels estiment qu’il est important de favoriser </w:t>
      </w:r>
      <w:r>
        <w:rPr>
          <w:rFonts w:cs="Arial"/>
        </w:rPr>
        <w:t>dans le futur</w:t>
      </w:r>
      <w:r w:rsidR="005B6007">
        <w:rPr>
          <w:rFonts w:cs="Arial"/>
        </w:rPr>
        <w:t xml:space="preserve"> les regroupements de pharmacies (augmentation de la productivité de la distribution du médicament en France) et donc leur recapital</w:t>
      </w:r>
      <w:r>
        <w:rPr>
          <w:rFonts w:cs="Arial"/>
        </w:rPr>
        <w:t>i</w:t>
      </w:r>
      <w:bookmarkStart w:id="0" w:name="_GoBack"/>
      <w:bookmarkEnd w:id="0"/>
      <w:r w:rsidR="005B6007">
        <w:rPr>
          <w:rFonts w:cs="Arial"/>
        </w:rPr>
        <w:t>sation.</w:t>
      </w:r>
    </w:p>
    <w:p w:rsidR="00B6341E" w:rsidRPr="00953477" w:rsidRDefault="00B6341E">
      <w:pPr>
        <w:rPr>
          <w:rFonts w:cs="Arial"/>
          <w:b/>
        </w:rPr>
      </w:pPr>
    </w:p>
    <w:p w:rsidR="006C746D" w:rsidRPr="00953477" w:rsidRDefault="0016478A">
      <w:pPr>
        <w:rPr>
          <w:rFonts w:cs="Arial"/>
          <w:b/>
        </w:rPr>
      </w:pPr>
      <w:r w:rsidRPr="00953477">
        <w:rPr>
          <w:rFonts w:cs="Arial"/>
          <w:b/>
        </w:rPr>
        <w:t xml:space="preserve">5) </w:t>
      </w:r>
      <w:r w:rsidR="00E40623" w:rsidRPr="00953477">
        <w:rPr>
          <w:rFonts w:cs="Arial"/>
          <w:b/>
        </w:rPr>
        <w:t>Acteurs de la transaction d’officine</w:t>
      </w:r>
    </w:p>
    <w:p w:rsidR="006C746D" w:rsidRPr="00953477" w:rsidRDefault="006C746D">
      <w:pPr>
        <w:rPr>
          <w:rFonts w:cs="Arial"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721EB74E" wp14:editId="1F6B2AF1">
            <wp:extent cx="3125338" cy="1902841"/>
            <wp:effectExtent l="0" t="0" r="0" b="2540"/>
            <wp:docPr id="593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98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66" cy="190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C746D" w:rsidRPr="00953477" w:rsidRDefault="006C746D">
      <w:pPr>
        <w:rPr>
          <w:rFonts w:cs="Arial"/>
        </w:rPr>
      </w:pPr>
    </w:p>
    <w:p w:rsidR="006C746D" w:rsidRPr="00953477" w:rsidRDefault="006C746D">
      <w:pPr>
        <w:rPr>
          <w:rFonts w:cs="Arial"/>
        </w:rPr>
      </w:pPr>
      <w:r w:rsidRPr="00953477">
        <w:rPr>
          <w:rFonts w:cs="Arial"/>
          <w:noProof/>
          <w:lang w:eastAsia="fr-FR"/>
        </w:rPr>
        <w:drawing>
          <wp:inline distT="0" distB="0" distL="0" distR="0" wp14:anchorId="6D5B1FE9" wp14:editId="5BE42EF8">
            <wp:extent cx="3480179" cy="1199842"/>
            <wp:effectExtent l="0" t="0" r="6350" b="635"/>
            <wp:docPr id="820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30" cy="1203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C746D" w:rsidRDefault="00376612">
      <w:pPr>
        <w:rPr>
          <w:rFonts w:cs="Arial"/>
        </w:rPr>
      </w:pPr>
      <w:r>
        <w:rPr>
          <w:rFonts w:cs="Arial"/>
        </w:rPr>
        <w:t xml:space="preserve">- </w:t>
      </w:r>
      <w:r w:rsidR="005B6007">
        <w:rPr>
          <w:rFonts w:cs="Arial"/>
        </w:rPr>
        <w:t xml:space="preserve">Le marché non </w:t>
      </w:r>
      <w:proofErr w:type="spellStart"/>
      <w:r w:rsidR="005B6007">
        <w:rPr>
          <w:rFonts w:cs="Arial"/>
        </w:rPr>
        <w:t>intermédié</w:t>
      </w:r>
      <w:proofErr w:type="spellEnd"/>
      <w:r w:rsidR="005B6007">
        <w:rPr>
          <w:rFonts w:cs="Arial"/>
        </w:rPr>
        <w:t xml:space="preserve"> est une source </w:t>
      </w:r>
      <w:r>
        <w:rPr>
          <w:rFonts w:cs="Arial"/>
        </w:rPr>
        <w:t>importante d’activité supplémentaire pour un cabinet de cession de pharmacies ; un pharmacien ne faisant en moyenne que deux cessions-acquisitions dans l’ensemble de sa vie professionnelle a véritablement besoin d’une assistance pour cette opération.</w:t>
      </w:r>
    </w:p>
    <w:p w:rsidR="00376612" w:rsidRDefault="00FA4431" w:rsidP="00FA4431">
      <w:pPr>
        <w:pStyle w:val="Sansinterligne"/>
      </w:pPr>
      <w:r>
        <w:t xml:space="preserve">- </w:t>
      </w:r>
      <w:r w:rsidR="000A1B99">
        <w:t>Les avantages compétitifs des cabinets d’intermédiation nationaux</w:t>
      </w:r>
      <w:r>
        <w:t>,</w:t>
      </w:r>
      <w:r w:rsidR="000A1B99">
        <w:t xml:space="preserve"> versus locaux</w:t>
      </w:r>
      <w:r>
        <w:t>,</w:t>
      </w:r>
      <w:r w:rsidR="000A1B99">
        <w:t xml:space="preserve"> sont :</w:t>
      </w:r>
    </w:p>
    <w:p w:rsidR="00FA4431" w:rsidRDefault="000A1B99" w:rsidP="00FA4431">
      <w:pPr>
        <w:pStyle w:val="Sansinterligne"/>
        <w:ind w:left="708"/>
      </w:pPr>
      <w:r>
        <w:t xml:space="preserve">- </w:t>
      </w:r>
      <w:r w:rsidR="00FA4431">
        <w:t>leur couverture nationale</w:t>
      </w:r>
      <w:r w:rsidR="00FA4431">
        <w:t xml:space="preserve"> (héliotropisme de la population)</w:t>
      </w:r>
    </w:p>
    <w:p w:rsidR="00FA4431" w:rsidRDefault="00FA4431" w:rsidP="00FA4431">
      <w:pPr>
        <w:pStyle w:val="Sansinterligne"/>
        <w:ind w:left="708"/>
      </w:pPr>
      <w:r>
        <w:t>- intégration des foncti</w:t>
      </w:r>
      <w:r>
        <w:t xml:space="preserve">ons juridiques, de financement (directs et possibilité d’externalisation </w:t>
      </w:r>
      <w:r>
        <w:t>des locaux commerciaux</w:t>
      </w:r>
      <w:r>
        <w:t>)</w:t>
      </w:r>
      <w:r>
        <w:t>, d’offre de services de gestion de patrimoine, et par la communication presse.</w:t>
      </w:r>
    </w:p>
    <w:p w:rsidR="000A1B99" w:rsidRPr="00953477" w:rsidRDefault="000A1B99">
      <w:pPr>
        <w:rPr>
          <w:rFonts w:cs="Arial"/>
        </w:rPr>
      </w:pPr>
    </w:p>
    <w:p w:rsidR="006C746D" w:rsidRPr="00953477" w:rsidRDefault="006C746D" w:rsidP="006C746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D91A4D" w:rsidRPr="00953477" w:rsidRDefault="00D91A4D" w:rsidP="00286B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1A4D" w:rsidRPr="00953477" w:rsidRDefault="00D91A4D" w:rsidP="00286B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1A4D" w:rsidRPr="00953477" w:rsidRDefault="00D91A4D" w:rsidP="00286B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1A4D" w:rsidRPr="00953477" w:rsidRDefault="00D91A4D" w:rsidP="00286B3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6C746D" w:rsidRDefault="006C746D"/>
    <w:sectPr w:rsidR="006C7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44E"/>
    <w:multiLevelType w:val="hybridMultilevel"/>
    <w:tmpl w:val="A8FAFEB8"/>
    <w:lvl w:ilvl="0" w:tplc="6AF00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F5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AB1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4E9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09F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001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47E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C95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9A50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8B"/>
    <w:rsid w:val="00063B0C"/>
    <w:rsid w:val="000A1B99"/>
    <w:rsid w:val="00131B26"/>
    <w:rsid w:val="0016478A"/>
    <w:rsid w:val="001D3908"/>
    <w:rsid w:val="00286B3C"/>
    <w:rsid w:val="00291E05"/>
    <w:rsid w:val="002D47FD"/>
    <w:rsid w:val="00376612"/>
    <w:rsid w:val="00411C5E"/>
    <w:rsid w:val="005B6007"/>
    <w:rsid w:val="005E7B2B"/>
    <w:rsid w:val="006C746D"/>
    <w:rsid w:val="00720EFA"/>
    <w:rsid w:val="007C65AF"/>
    <w:rsid w:val="00845FAB"/>
    <w:rsid w:val="00933B9C"/>
    <w:rsid w:val="00953477"/>
    <w:rsid w:val="0096486F"/>
    <w:rsid w:val="00977A19"/>
    <w:rsid w:val="009910FF"/>
    <w:rsid w:val="00B41F5E"/>
    <w:rsid w:val="00B51F98"/>
    <w:rsid w:val="00B6341E"/>
    <w:rsid w:val="00BF6524"/>
    <w:rsid w:val="00C42FDE"/>
    <w:rsid w:val="00C86715"/>
    <w:rsid w:val="00D500B5"/>
    <w:rsid w:val="00D91A4D"/>
    <w:rsid w:val="00DA3ECF"/>
    <w:rsid w:val="00DA438B"/>
    <w:rsid w:val="00E40623"/>
    <w:rsid w:val="00ED4E26"/>
    <w:rsid w:val="00F15110"/>
    <w:rsid w:val="00F974EB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4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3B0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50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4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3B0C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50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7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Olivier\Desktop\Copie%20de%20pharmacies%20habitants%20pay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497077358083846E-2"/>
          <c:y val="7.4324637131201965E-2"/>
          <c:w val="0.86226499465344608"/>
          <c:h val="0.6693755810644151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Pt>
            <c:idx val="8"/>
            <c:invertIfNegative val="0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Data3.12.3!$A$7:$A$27</c:f>
              <c:strCache>
                <c:ptCount val="21"/>
                <c:pt idx="0">
                  <c:v>Grèce</c:v>
                </c:pt>
                <c:pt idx="1">
                  <c:v>Belgique</c:v>
                </c:pt>
                <c:pt idx="2">
                  <c:v>Japon</c:v>
                </c:pt>
                <c:pt idx="3">
                  <c:v>Irlande</c:v>
                </c:pt>
                <c:pt idx="4">
                  <c:v>France</c:v>
                </c:pt>
                <c:pt idx="5">
                  <c:v>Turquie</c:v>
                </c:pt>
                <c:pt idx="6">
                  <c:v>Pologne</c:v>
                </c:pt>
                <c:pt idx="7">
                  <c:v>Italie</c:v>
                </c:pt>
                <c:pt idx="8">
                  <c:v>OCDE</c:v>
                </c:pt>
                <c:pt idx="9">
                  <c:v>République slovaque</c:v>
                </c:pt>
                <c:pt idx="10">
                  <c:v>Hongrie</c:v>
                </c:pt>
                <c:pt idx="11">
                  <c:v>Autriche</c:v>
                </c:pt>
                <c:pt idx="12">
                  <c:v>Allemagne</c:v>
                </c:pt>
                <c:pt idx="13">
                  <c:v>Portugal</c:v>
                </c:pt>
                <c:pt idx="14">
                  <c:v>République tchèque</c:v>
                </c:pt>
                <c:pt idx="15">
                  <c:v>Royaume-Uni</c:v>
                </c:pt>
                <c:pt idx="16">
                  <c:v>Finlande</c:v>
                </c:pt>
                <c:pt idx="17">
                  <c:v>Pays-Bas</c:v>
                </c:pt>
                <c:pt idx="18">
                  <c:v>Norvège</c:v>
                </c:pt>
                <c:pt idx="19">
                  <c:v>Suède</c:v>
                </c:pt>
                <c:pt idx="20">
                  <c:v>Danemark</c:v>
                </c:pt>
              </c:strCache>
            </c:strRef>
          </c:cat>
          <c:val>
            <c:numRef>
              <c:f>Data3.12.3!$D$7:$D$27</c:f>
              <c:numCache>
                <c:formatCode>0.0</c:formatCode>
                <c:ptCount val="21"/>
                <c:pt idx="0">
                  <c:v>77.727150897882609</c:v>
                </c:pt>
                <c:pt idx="1">
                  <c:v>49.176315541749034</c:v>
                </c:pt>
                <c:pt idx="2">
                  <c:v>41.119659390628549</c:v>
                </c:pt>
                <c:pt idx="3">
                  <c:v>37.796727356533765</c:v>
                </c:pt>
                <c:pt idx="4">
                  <c:v>36.819161521383307</c:v>
                </c:pt>
                <c:pt idx="5">
                  <c:v>32.017680559884397</c:v>
                </c:pt>
                <c:pt idx="6">
                  <c:v>29.642454290286196</c:v>
                </c:pt>
                <c:pt idx="7">
                  <c:v>29.551630434782609</c:v>
                </c:pt>
                <c:pt idx="8">
                  <c:v>28.42739068926922</c:v>
                </c:pt>
                <c:pt idx="9">
                  <c:v>27.78806965542794</c:v>
                </c:pt>
                <c:pt idx="10">
                  <c:v>27.515910898965789</c:v>
                </c:pt>
                <c:pt idx="11">
                  <c:v>26.518340348767289</c:v>
                </c:pt>
                <c:pt idx="12">
                  <c:v>26.137593153166293</c:v>
                </c:pt>
                <c:pt idx="13">
                  <c:v>25.462089777442475</c:v>
                </c:pt>
                <c:pt idx="14">
                  <c:v>22.861571248668021</c:v>
                </c:pt>
                <c:pt idx="15">
                  <c:v>19.024190241902421</c:v>
                </c:pt>
                <c:pt idx="16">
                  <c:v>15.125732652675364</c:v>
                </c:pt>
                <c:pt idx="17">
                  <c:v>14.650225857648639</c:v>
                </c:pt>
                <c:pt idx="18">
                  <c:v>11.892121469526439</c:v>
                </c:pt>
                <c:pt idx="19">
                  <c:v>9.2916484477481429</c:v>
                </c:pt>
                <c:pt idx="20">
                  <c:v>8.4295400403151923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24827136"/>
        <c:axId val="124828672"/>
      </c:barChart>
      <c:catAx>
        <c:axId val="124827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4828672"/>
        <c:crosses val="autoZero"/>
        <c:auto val="1"/>
        <c:lblAlgn val="ctr"/>
        <c:lblOffset val="100"/>
        <c:tickLblSkip val="1"/>
        <c:noMultiLvlLbl val="0"/>
      </c:catAx>
      <c:valAx>
        <c:axId val="124828672"/>
        <c:scaling>
          <c:orientation val="minMax"/>
          <c:max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24827136"/>
        <c:crosses val="autoZero"/>
        <c:crossBetween val="between"/>
        <c:majorUnit val="20"/>
      </c:valAx>
      <c:spPr>
        <a:ln>
          <a:solidFill>
            <a:sysClr val="window" lastClr="FFFFFF">
              <a:lumMod val="50000"/>
            </a:sysClr>
          </a:solidFill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0"/>
          <a:ext cx="3594679" cy="1809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l"/>
          <a:r>
            <a:rPr lang="en-US" sz="800">
              <a:latin typeface="Arial" pitchFamily="34" charset="0"/>
              <a:cs typeface="Arial" pitchFamily="34" charset="0"/>
            </a:rPr>
            <a:t>Pour 100 000 habitants</a:t>
          </a:r>
        </a:p>
      </cdr:txBody>
    </cdr:sp>
  </cdr:relSizeAnchor>
  <cdr:relSizeAnchor xmlns:cdr="http://schemas.openxmlformats.org/drawingml/2006/chartDrawing">
    <cdr:from>
      <cdr:x>0</cdr:x>
      <cdr:y>0</cdr:y>
    </cdr:from>
    <cdr:to>
      <cdr:x>0.26892</cdr:x>
      <cdr:y>0.05405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0"/>
          <a:ext cx="1590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en-US" sz="800">
              <a:latin typeface="Arial" pitchFamily="34" charset="0"/>
              <a:cs typeface="Arial" pitchFamily="34" charset="0"/>
            </a:rPr>
            <a:t>Pour 100 000 habitants</a:t>
          </a:r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2</cp:revision>
  <dcterms:created xsi:type="dcterms:W3CDTF">2011-11-25T14:28:00Z</dcterms:created>
  <dcterms:modified xsi:type="dcterms:W3CDTF">2011-11-25T14:28:00Z</dcterms:modified>
</cp:coreProperties>
</file>