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15" w:rsidRDefault="00C86715"/>
    <w:p w:rsidR="00295780" w:rsidRPr="00295780" w:rsidRDefault="00295780" w:rsidP="0029578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95780">
        <w:rPr>
          <w:rFonts w:ascii="Times New Roman" w:eastAsia="Times New Roman" w:hAnsi="Times New Roman" w:cs="Times New Roman"/>
          <w:b/>
          <w:bCs/>
          <w:kern w:val="36"/>
          <w:sz w:val="32"/>
          <w:szCs w:val="48"/>
          <w:lang w:eastAsia="fr-FR"/>
        </w:rPr>
        <w:t>Les foncières se refont une santé</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295780" w:rsidRPr="00295780" w:rsidTr="00295780">
        <w:trPr>
          <w:tblCellSpacing w:w="15" w:type="dxa"/>
        </w:trPr>
        <w:tc>
          <w:tcPr>
            <w:tcW w:w="0" w:type="auto"/>
            <w:vAlign w:val="center"/>
            <w:hideMark/>
          </w:tcPr>
          <w:p w:rsidR="00295780" w:rsidRPr="00295780" w:rsidRDefault="00295780" w:rsidP="00295780">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295780" w:rsidRPr="00295780" w:rsidRDefault="00295780" w:rsidP="00295780">
            <w:pPr>
              <w:spacing w:after="0" w:line="240" w:lineRule="auto"/>
              <w:rPr>
                <w:rFonts w:ascii="Times New Roman" w:eastAsia="Times New Roman" w:hAnsi="Times New Roman" w:cs="Times New Roman"/>
                <w:sz w:val="24"/>
                <w:szCs w:val="24"/>
                <w:lang w:eastAsia="fr-FR"/>
              </w:rPr>
            </w:pPr>
          </w:p>
        </w:tc>
      </w:tr>
    </w:tbl>
    <w:p w:rsidR="00295780" w:rsidRPr="00295780" w:rsidRDefault="00295780" w:rsidP="00295780">
      <w:pPr>
        <w:spacing w:before="100" w:beforeAutospacing="1" w:after="100" w:afterAutospacing="1" w:line="240" w:lineRule="auto"/>
        <w:rPr>
          <w:rFonts w:ascii="Times New Roman" w:eastAsia="Times New Roman" w:hAnsi="Times New Roman" w:cs="Times New Roman"/>
          <w:b/>
          <w:bCs/>
          <w:color w:val="9E5D22"/>
          <w:sz w:val="23"/>
          <w:szCs w:val="23"/>
          <w:lang w:eastAsia="fr-FR"/>
        </w:rPr>
      </w:pPr>
      <w:r w:rsidRPr="00295780">
        <w:rPr>
          <w:rFonts w:ascii="Times New Roman" w:eastAsia="Times New Roman" w:hAnsi="Times New Roman" w:cs="Times New Roman"/>
          <w:b/>
          <w:bCs/>
          <w:color w:val="9E5D22"/>
          <w:sz w:val="23"/>
          <w:szCs w:val="23"/>
          <w:lang w:eastAsia="fr-FR"/>
        </w:rPr>
        <w:t xml:space="preserve">Pascale </w:t>
      </w:r>
      <w:proofErr w:type="spellStart"/>
      <w:r w:rsidRPr="00295780">
        <w:rPr>
          <w:rFonts w:ascii="Times New Roman" w:eastAsia="Times New Roman" w:hAnsi="Times New Roman" w:cs="Times New Roman"/>
          <w:b/>
          <w:bCs/>
          <w:color w:val="9E5D22"/>
          <w:sz w:val="23"/>
          <w:szCs w:val="23"/>
          <w:lang w:eastAsia="fr-FR"/>
        </w:rPr>
        <w:t>Besses-Boumard</w:t>
      </w:r>
      <w:proofErr w:type="spellEnd"/>
      <w:r w:rsidRPr="00295780">
        <w:rPr>
          <w:rFonts w:ascii="Times New Roman" w:eastAsia="Times New Roman" w:hAnsi="Times New Roman" w:cs="Times New Roman"/>
          <w:b/>
          <w:bCs/>
          <w:color w:val="9E5D22"/>
          <w:sz w:val="23"/>
          <w:szCs w:val="23"/>
          <w:lang w:eastAsia="fr-FR"/>
        </w:rPr>
        <w:t xml:space="preserve"> </w:t>
      </w:r>
    </w:p>
    <w:p w:rsidR="00295780" w:rsidRPr="00295780" w:rsidRDefault="00295780" w:rsidP="00295780">
      <w:pPr>
        <w:spacing w:after="0" w:line="240" w:lineRule="auto"/>
        <w:rPr>
          <w:rFonts w:ascii="Times New Roman" w:eastAsia="Times New Roman" w:hAnsi="Times New Roman" w:cs="Times New Roman"/>
          <w:sz w:val="24"/>
          <w:szCs w:val="24"/>
          <w:lang w:eastAsia="fr-FR"/>
        </w:rPr>
      </w:pPr>
      <w:proofErr w:type="spellStart"/>
      <w:r w:rsidRPr="00295780">
        <w:rPr>
          <w:rFonts w:ascii="Times New Roman" w:eastAsia="Times New Roman" w:hAnsi="Times New Roman" w:cs="Times New Roman"/>
          <w:b/>
          <w:bCs/>
          <w:sz w:val="24"/>
          <w:szCs w:val="24"/>
          <w:lang w:eastAsia="fr-FR"/>
        </w:rPr>
        <w:t>Mercialys</w:t>
      </w:r>
      <w:proofErr w:type="spellEnd"/>
      <w:r w:rsidRPr="00295780">
        <w:rPr>
          <w:rFonts w:ascii="Times New Roman" w:eastAsia="Times New Roman" w:hAnsi="Times New Roman" w:cs="Times New Roman"/>
          <w:b/>
          <w:bCs/>
          <w:sz w:val="24"/>
          <w:szCs w:val="24"/>
          <w:lang w:eastAsia="fr-FR"/>
        </w:rPr>
        <w:t>, Unibail-</w:t>
      </w:r>
      <w:proofErr w:type="spellStart"/>
      <w:r w:rsidRPr="00295780">
        <w:rPr>
          <w:rFonts w:ascii="Times New Roman" w:eastAsia="Times New Roman" w:hAnsi="Times New Roman" w:cs="Times New Roman"/>
          <w:b/>
          <w:bCs/>
          <w:sz w:val="24"/>
          <w:szCs w:val="24"/>
          <w:lang w:eastAsia="fr-FR"/>
        </w:rPr>
        <w:t>Rodamco</w:t>
      </w:r>
      <w:proofErr w:type="spellEnd"/>
      <w:r w:rsidRPr="00295780">
        <w:rPr>
          <w:rFonts w:ascii="Times New Roman" w:eastAsia="Times New Roman" w:hAnsi="Times New Roman" w:cs="Times New Roman"/>
          <w:b/>
          <w:bCs/>
          <w:sz w:val="24"/>
          <w:szCs w:val="24"/>
          <w:lang w:eastAsia="fr-FR"/>
        </w:rPr>
        <w:t xml:space="preserve"> et Foncière des régions viennent de boucler des opérations de refinancement dans de très bonnes conditions. Les foncières françaises ont présenté une belle moisson de résultats 2011.</w:t>
      </w:r>
      <w:r w:rsidRPr="00295780">
        <w:rPr>
          <w:rFonts w:ascii="Times New Roman" w:eastAsia="Times New Roman" w:hAnsi="Times New Roman" w:cs="Times New Roman"/>
          <w:sz w:val="24"/>
          <w:szCs w:val="24"/>
          <w:lang w:eastAsia="fr-FR"/>
        </w:rPr>
        <w:t xml:space="preserve"> </w:t>
      </w:r>
    </w:p>
    <w:p w:rsidR="00295780" w:rsidRPr="00295780" w:rsidRDefault="00295780" w:rsidP="00295780">
      <w:pPr>
        <w:spacing w:before="100" w:beforeAutospacing="1" w:after="100" w:afterAutospacing="1" w:line="240" w:lineRule="auto"/>
        <w:rPr>
          <w:rFonts w:ascii="Times New Roman" w:eastAsia="Times New Roman" w:hAnsi="Times New Roman" w:cs="Times New Roman"/>
          <w:sz w:val="24"/>
          <w:szCs w:val="24"/>
          <w:lang w:eastAsia="fr-FR"/>
        </w:rPr>
      </w:pPr>
      <w:r w:rsidRPr="00295780">
        <w:rPr>
          <w:rFonts w:ascii="Times New Roman" w:eastAsia="Times New Roman" w:hAnsi="Times New Roman" w:cs="Times New Roman"/>
          <w:sz w:val="24"/>
          <w:szCs w:val="24"/>
          <w:lang w:eastAsia="fr-FR"/>
        </w:rPr>
        <w:t xml:space="preserve">Au moment où les banques semblent rouvrir les vannes du crédit, les entreprises en profitent pour revenir sur les marchés financiers, comme en témoigne la publication de la foncière </w:t>
      </w:r>
      <w:hyperlink r:id="rId5" w:history="1">
        <w:proofErr w:type="spellStart"/>
        <w:r w:rsidRPr="00295780">
          <w:rPr>
            <w:rFonts w:ascii="Times New Roman" w:eastAsia="Times New Roman" w:hAnsi="Times New Roman" w:cs="Times New Roman"/>
            <w:b/>
            <w:bCs/>
            <w:i/>
            <w:iCs/>
            <w:color w:val="0000FF"/>
            <w:sz w:val="24"/>
            <w:szCs w:val="24"/>
            <w:u w:val="single"/>
            <w:lang w:eastAsia="fr-FR"/>
          </w:rPr>
          <w:t>Mercialys</w:t>
        </w:r>
        <w:proofErr w:type="spellEnd"/>
      </w:hyperlink>
      <w:r w:rsidRPr="00295780">
        <w:rPr>
          <w:rFonts w:ascii="Times New Roman" w:eastAsia="Times New Roman" w:hAnsi="Times New Roman" w:cs="Times New Roman"/>
          <w:sz w:val="24"/>
          <w:szCs w:val="24"/>
          <w:lang w:eastAsia="fr-FR"/>
        </w:rPr>
        <w:t xml:space="preserve"> ce lundi matin. Elle a effectivement annoncé avoir placé avec </w:t>
      </w:r>
      <w:r w:rsidRPr="00295780">
        <w:rPr>
          <w:rFonts w:ascii="Times New Roman" w:eastAsia="Times New Roman" w:hAnsi="Times New Roman" w:cs="Times New Roman"/>
          <w:sz w:val="24"/>
          <w:szCs w:val="24"/>
          <w:highlight w:val="yellow"/>
          <w:lang w:eastAsia="fr-FR"/>
        </w:rPr>
        <w:t>succès une émission obligataire d'un montant de 650 millions d'euros</w:t>
      </w:r>
      <w:r w:rsidRPr="00295780">
        <w:rPr>
          <w:rFonts w:ascii="Times New Roman" w:eastAsia="Times New Roman" w:hAnsi="Times New Roman" w:cs="Times New Roman"/>
          <w:sz w:val="24"/>
          <w:szCs w:val="24"/>
          <w:lang w:eastAsia="fr-FR"/>
        </w:rPr>
        <w:t xml:space="preserve">, opération qui devrait lui permettre de financer ses nombreux projets au moment où l'actionnaire de référence, Casino, s'est résolu à perdre le contrôle du groupe pour n'en conserver que 30 à 40%. </w:t>
      </w:r>
      <w:proofErr w:type="spellStart"/>
      <w:r w:rsidRPr="00295780">
        <w:rPr>
          <w:rFonts w:ascii="Times New Roman" w:eastAsia="Times New Roman" w:hAnsi="Times New Roman" w:cs="Times New Roman"/>
          <w:sz w:val="24"/>
          <w:szCs w:val="24"/>
          <w:lang w:eastAsia="fr-FR"/>
        </w:rPr>
        <w:t>Mercialys</w:t>
      </w:r>
      <w:proofErr w:type="spellEnd"/>
      <w:r w:rsidRPr="00295780">
        <w:rPr>
          <w:rFonts w:ascii="Times New Roman" w:eastAsia="Times New Roman" w:hAnsi="Times New Roman" w:cs="Times New Roman"/>
          <w:sz w:val="24"/>
          <w:szCs w:val="24"/>
          <w:lang w:eastAsia="fr-FR"/>
        </w:rPr>
        <w:t xml:space="preserve"> prépare cette année un nouveau plan stratégique qui se traduira notamment par le recentrage de son portefeuille sur 60 à 70 centres commerciaux, contre 120 actuellement, projet passant par des cessions d'actifs, pour un montant de 500 millions d'euros.</w:t>
      </w:r>
    </w:p>
    <w:p w:rsidR="00295780" w:rsidRPr="00295780" w:rsidRDefault="00295780" w:rsidP="00295780">
      <w:pPr>
        <w:spacing w:before="100" w:beforeAutospacing="1" w:after="100" w:afterAutospacing="1" w:line="240" w:lineRule="auto"/>
        <w:rPr>
          <w:rFonts w:ascii="Times New Roman" w:eastAsia="Times New Roman" w:hAnsi="Times New Roman" w:cs="Times New Roman"/>
          <w:sz w:val="24"/>
          <w:szCs w:val="24"/>
          <w:lang w:eastAsia="fr-FR"/>
        </w:rPr>
      </w:pPr>
      <w:r w:rsidRPr="00295780">
        <w:rPr>
          <w:rFonts w:ascii="Times New Roman" w:eastAsia="Times New Roman" w:hAnsi="Times New Roman" w:cs="Times New Roman"/>
          <w:sz w:val="24"/>
          <w:szCs w:val="24"/>
          <w:lang w:eastAsia="fr-FR"/>
        </w:rPr>
        <w:t xml:space="preserve">La semaine dernière deux autres foncières ont également réussi à lever de grosses lignes de capitaux : </w:t>
      </w:r>
      <w:r w:rsidRPr="00295780">
        <w:rPr>
          <w:rFonts w:ascii="Times New Roman" w:eastAsia="Times New Roman" w:hAnsi="Times New Roman" w:cs="Times New Roman"/>
          <w:sz w:val="24"/>
          <w:szCs w:val="24"/>
          <w:highlight w:val="yellow"/>
          <w:lang w:eastAsia="fr-FR"/>
        </w:rPr>
        <w:t>Unibail-</w:t>
      </w:r>
      <w:proofErr w:type="spellStart"/>
      <w:r w:rsidRPr="00295780">
        <w:rPr>
          <w:rFonts w:ascii="Times New Roman" w:eastAsia="Times New Roman" w:hAnsi="Times New Roman" w:cs="Times New Roman"/>
          <w:sz w:val="24"/>
          <w:szCs w:val="24"/>
          <w:highlight w:val="yellow"/>
          <w:lang w:eastAsia="fr-FR"/>
        </w:rPr>
        <w:t>Radamco</w:t>
      </w:r>
      <w:proofErr w:type="spellEnd"/>
      <w:r w:rsidRPr="00295780">
        <w:rPr>
          <w:rFonts w:ascii="Times New Roman" w:eastAsia="Times New Roman" w:hAnsi="Times New Roman" w:cs="Times New Roman"/>
          <w:sz w:val="24"/>
          <w:szCs w:val="24"/>
          <w:highlight w:val="yellow"/>
          <w:lang w:eastAsia="fr-FR"/>
        </w:rPr>
        <w:t xml:space="preserve"> a ainsi récupéré 750 millions d'euros via l'émission très largement souscrite d'obligations</w:t>
      </w:r>
      <w:r w:rsidRPr="00295780">
        <w:rPr>
          <w:rFonts w:ascii="Times New Roman" w:eastAsia="Times New Roman" w:hAnsi="Times New Roman" w:cs="Times New Roman"/>
          <w:sz w:val="24"/>
          <w:szCs w:val="24"/>
          <w:lang w:eastAsia="fr-FR"/>
        </w:rPr>
        <w:t xml:space="preserve">. </w:t>
      </w:r>
      <w:r w:rsidRPr="00295780">
        <w:rPr>
          <w:rFonts w:ascii="Times New Roman" w:eastAsia="Times New Roman" w:hAnsi="Times New Roman" w:cs="Times New Roman"/>
          <w:sz w:val="24"/>
          <w:szCs w:val="24"/>
          <w:highlight w:val="yellow"/>
          <w:lang w:eastAsia="fr-FR"/>
        </w:rPr>
        <w:t>Foncière des régions, de son côté, a obtenu 568 millions</w:t>
      </w:r>
      <w:r w:rsidRPr="00295780">
        <w:rPr>
          <w:rFonts w:ascii="Times New Roman" w:eastAsia="Times New Roman" w:hAnsi="Times New Roman" w:cs="Times New Roman"/>
          <w:sz w:val="24"/>
          <w:szCs w:val="24"/>
          <w:lang w:eastAsia="fr-FR"/>
        </w:rPr>
        <w:t xml:space="preserve"> d'euros auprès de deux banques allemandes.</w:t>
      </w:r>
    </w:p>
    <w:p w:rsidR="00295780" w:rsidRPr="00295780" w:rsidRDefault="00295780" w:rsidP="00295780">
      <w:pPr>
        <w:spacing w:before="100" w:beforeAutospacing="1" w:after="100" w:afterAutospacing="1" w:line="240" w:lineRule="auto"/>
        <w:rPr>
          <w:rFonts w:ascii="Times New Roman" w:eastAsia="Times New Roman" w:hAnsi="Times New Roman" w:cs="Times New Roman"/>
          <w:sz w:val="24"/>
          <w:szCs w:val="24"/>
          <w:lang w:eastAsia="fr-FR"/>
        </w:rPr>
      </w:pPr>
      <w:r w:rsidRPr="00295780">
        <w:rPr>
          <w:rFonts w:ascii="Times New Roman" w:eastAsia="Times New Roman" w:hAnsi="Times New Roman" w:cs="Times New Roman"/>
          <w:b/>
          <w:bCs/>
          <w:sz w:val="24"/>
          <w:szCs w:val="24"/>
          <w:lang w:eastAsia="fr-FR"/>
        </w:rPr>
        <w:t>Des bilans sains et des actifs de qualité</w:t>
      </w:r>
    </w:p>
    <w:p w:rsidR="00295780" w:rsidRPr="00295780" w:rsidRDefault="00295780" w:rsidP="00295780">
      <w:pPr>
        <w:spacing w:before="100" w:beforeAutospacing="1" w:after="100" w:afterAutospacing="1" w:line="240" w:lineRule="auto"/>
        <w:rPr>
          <w:rFonts w:ascii="Times New Roman" w:eastAsia="Times New Roman" w:hAnsi="Times New Roman" w:cs="Times New Roman"/>
          <w:sz w:val="24"/>
          <w:szCs w:val="24"/>
          <w:lang w:eastAsia="fr-FR"/>
        </w:rPr>
      </w:pPr>
      <w:r w:rsidRPr="00295780">
        <w:rPr>
          <w:rFonts w:ascii="Times New Roman" w:eastAsia="Times New Roman" w:hAnsi="Times New Roman" w:cs="Times New Roman"/>
          <w:sz w:val="24"/>
          <w:szCs w:val="24"/>
          <w:lang w:eastAsia="fr-FR"/>
        </w:rPr>
        <w:t xml:space="preserve">Une bonne nouvelle pour les foncières cotées qui n'ont pas démérité en 2011 et profitent aujourd'hui de bilans sains et de portefeuilles d'actifs de qualité. La dernière moisson de résultats de ces entreprises est en effet assez éloquente. D'une manière générale, elles ont presque toutes vu leurs niveaux de loyers progresser, dans un contexte pourtant assez difficile compte tenu de la baisse de l'indice du coût de la construction. Ceux de </w:t>
      </w:r>
      <w:proofErr w:type="spellStart"/>
      <w:r w:rsidRPr="00295780">
        <w:rPr>
          <w:rFonts w:ascii="Times New Roman" w:eastAsia="Times New Roman" w:hAnsi="Times New Roman" w:cs="Times New Roman"/>
          <w:sz w:val="24"/>
          <w:szCs w:val="24"/>
          <w:lang w:eastAsia="fr-FR"/>
        </w:rPr>
        <w:t>Klépierre</w:t>
      </w:r>
      <w:proofErr w:type="spellEnd"/>
      <w:r w:rsidRPr="00295780">
        <w:rPr>
          <w:rFonts w:ascii="Times New Roman" w:eastAsia="Times New Roman" w:hAnsi="Times New Roman" w:cs="Times New Roman"/>
          <w:sz w:val="24"/>
          <w:szCs w:val="24"/>
          <w:lang w:eastAsia="fr-FR"/>
        </w:rPr>
        <w:t xml:space="preserve"> ont augmenté de 3,6%, ceux d'</w:t>
      </w:r>
      <w:hyperlink r:id="rId6" w:history="1">
        <w:r w:rsidRPr="00295780">
          <w:rPr>
            <w:rFonts w:ascii="Times New Roman" w:eastAsia="Times New Roman" w:hAnsi="Times New Roman" w:cs="Times New Roman"/>
            <w:b/>
            <w:bCs/>
            <w:i/>
            <w:iCs/>
            <w:color w:val="0000FF"/>
            <w:sz w:val="24"/>
            <w:szCs w:val="24"/>
            <w:u w:val="single"/>
            <w:lang w:eastAsia="fr-FR"/>
          </w:rPr>
          <w:t>Unibail-</w:t>
        </w:r>
        <w:proofErr w:type="spellStart"/>
        <w:r w:rsidRPr="00295780">
          <w:rPr>
            <w:rFonts w:ascii="Times New Roman" w:eastAsia="Times New Roman" w:hAnsi="Times New Roman" w:cs="Times New Roman"/>
            <w:b/>
            <w:bCs/>
            <w:i/>
            <w:iCs/>
            <w:color w:val="0000FF"/>
            <w:sz w:val="24"/>
            <w:szCs w:val="24"/>
            <w:u w:val="single"/>
            <w:lang w:eastAsia="fr-FR"/>
          </w:rPr>
          <w:t>Rodamco</w:t>
        </w:r>
        <w:proofErr w:type="spellEnd"/>
      </w:hyperlink>
      <w:r w:rsidRPr="00295780">
        <w:rPr>
          <w:rFonts w:ascii="Times New Roman" w:eastAsia="Times New Roman" w:hAnsi="Times New Roman" w:cs="Times New Roman"/>
          <w:sz w:val="24"/>
          <w:szCs w:val="24"/>
          <w:lang w:eastAsia="fr-FR"/>
        </w:rPr>
        <w:t xml:space="preserve"> de 4,4%, ceux de Foncière des régions de 2,2% alors que ceux d'</w:t>
      </w:r>
      <w:proofErr w:type="spellStart"/>
      <w:r w:rsidRPr="00295780">
        <w:rPr>
          <w:rFonts w:ascii="Times New Roman" w:eastAsia="Times New Roman" w:hAnsi="Times New Roman" w:cs="Times New Roman"/>
          <w:b/>
          <w:bCs/>
          <w:i/>
          <w:iCs/>
          <w:sz w:val="24"/>
          <w:szCs w:val="24"/>
          <w:lang w:eastAsia="fr-FR"/>
        </w:rPr>
        <w:fldChar w:fldCharType="begin"/>
      </w:r>
      <w:r w:rsidRPr="00295780">
        <w:rPr>
          <w:rFonts w:ascii="Times New Roman" w:eastAsia="Times New Roman" w:hAnsi="Times New Roman" w:cs="Times New Roman"/>
          <w:b/>
          <w:bCs/>
          <w:i/>
          <w:iCs/>
          <w:sz w:val="24"/>
          <w:szCs w:val="24"/>
          <w:lang w:eastAsia="fr-FR"/>
        </w:rPr>
        <w:instrText xml:space="preserve"> HYPERLINK "http://bourse.latribune.fr/stocks/valeur.html?ISIN=FR0000035081&amp;MARKET=25" </w:instrText>
      </w:r>
      <w:r w:rsidRPr="00295780">
        <w:rPr>
          <w:rFonts w:ascii="Times New Roman" w:eastAsia="Times New Roman" w:hAnsi="Times New Roman" w:cs="Times New Roman"/>
          <w:b/>
          <w:bCs/>
          <w:i/>
          <w:iCs/>
          <w:sz w:val="24"/>
          <w:szCs w:val="24"/>
          <w:lang w:eastAsia="fr-FR"/>
        </w:rPr>
        <w:fldChar w:fldCharType="separate"/>
      </w:r>
      <w:r w:rsidRPr="00295780">
        <w:rPr>
          <w:rFonts w:ascii="Times New Roman" w:eastAsia="Times New Roman" w:hAnsi="Times New Roman" w:cs="Times New Roman"/>
          <w:b/>
          <w:bCs/>
          <w:i/>
          <w:iCs/>
          <w:color w:val="0000FF"/>
          <w:sz w:val="24"/>
          <w:szCs w:val="24"/>
          <w:u w:val="single"/>
          <w:lang w:eastAsia="fr-FR"/>
        </w:rPr>
        <w:t>Icade</w:t>
      </w:r>
      <w:proofErr w:type="spellEnd"/>
      <w:r w:rsidRPr="00295780">
        <w:rPr>
          <w:rFonts w:ascii="Times New Roman" w:eastAsia="Times New Roman" w:hAnsi="Times New Roman" w:cs="Times New Roman"/>
          <w:b/>
          <w:bCs/>
          <w:i/>
          <w:iCs/>
          <w:sz w:val="24"/>
          <w:szCs w:val="24"/>
          <w:lang w:eastAsia="fr-FR"/>
        </w:rPr>
        <w:fldChar w:fldCharType="end"/>
      </w:r>
      <w:r w:rsidRPr="00295780">
        <w:rPr>
          <w:rFonts w:ascii="Times New Roman" w:eastAsia="Times New Roman" w:hAnsi="Times New Roman" w:cs="Times New Roman"/>
          <w:sz w:val="24"/>
          <w:szCs w:val="24"/>
          <w:lang w:eastAsia="fr-FR"/>
        </w:rPr>
        <w:t xml:space="preserve"> ont crû de 11,6%, ceux de </w:t>
      </w:r>
      <w:proofErr w:type="spellStart"/>
      <w:r w:rsidRPr="00295780">
        <w:rPr>
          <w:rFonts w:ascii="Times New Roman" w:eastAsia="Times New Roman" w:hAnsi="Times New Roman" w:cs="Times New Roman"/>
          <w:sz w:val="24"/>
          <w:szCs w:val="24"/>
          <w:lang w:eastAsia="fr-FR"/>
        </w:rPr>
        <w:t>Gécina</w:t>
      </w:r>
      <w:proofErr w:type="spellEnd"/>
      <w:r w:rsidRPr="00295780">
        <w:rPr>
          <w:rFonts w:ascii="Times New Roman" w:eastAsia="Times New Roman" w:hAnsi="Times New Roman" w:cs="Times New Roman"/>
          <w:sz w:val="24"/>
          <w:szCs w:val="24"/>
          <w:lang w:eastAsia="fr-FR"/>
        </w:rPr>
        <w:t xml:space="preserve"> de 2,5%, ou ceux de </w:t>
      </w:r>
      <w:proofErr w:type="spellStart"/>
      <w:r w:rsidRPr="00295780">
        <w:rPr>
          <w:rFonts w:ascii="Times New Roman" w:eastAsia="Times New Roman" w:hAnsi="Times New Roman" w:cs="Times New Roman"/>
          <w:sz w:val="24"/>
          <w:szCs w:val="24"/>
          <w:lang w:eastAsia="fr-FR"/>
        </w:rPr>
        <w:t>Mercialys</w:t>
      </w:r>
      <w:proofErr w:type="spellEnd"/>
      <w:r w:rsidRPr="00295780">
        <w:rPr>
          <w:rFonts w:ascii="Times New Roman" w:eastAsia="Times New Roman" w:hAnsi="Times New Roman" w:cs="Times New Roman"/>
          <w:sz w:val="24"/>
          <w:szCs w:val="24"/>
          <w:lang w:eastAsia="fr-FR"/>
        </w:rPr>
        <w:t xml:space="preserve"> de 3,3% à périmètre comparable.</w:t>
      </w:r>
    </w:p>
    <w:p w:rsidR="00295780" w:rsidRPr="00295780" w:rsidRDefault="00295780" w:rsidP="00295780">
      <w:pPr>
        <w:spacing w:before="100" w:beforeAutospacing="1" w:after="100" w:afterAutospacing="1" w:line="240" w:lineRule="auto"/>
        <w:rPr>
          <w:rFonts w:ascii="Times New Roman" w:eastAsia="Times New Roman" w:hAnsi="Times New Roman" w:cs="Times New Roman"/>
          <w:sz w:val="24"/>
          <w:szCs w:val="24"/>
          <w:lang w:eastAsia="fr-FR"/>
        </w:rPr>
      </w:pPr>
      <w:r w:rsidRPr="00295780">
        <w:rPr>
          <w:rFonts w:ascii="Times New Roman" w:eastAsia="Times New Roman" w:hAnsi="Times New Roman" w:cs="Times New Roman"/>
          <w:sz w:val="24"/>
          <w:szCs w:val="24"/>
          <w:lang w:eastAsia="fr-FR"/>
        </w:rPr>
        <w:t xml:space="preserve">Parmi les grosses foncières, seules Foncière Lyonnaise (SFL) affiche une performance en recul (-13,2%) et ce, en raison d'une opération d'apport d'actifs à </w:t>
      </w:r>
      <w:hyperlink r:id="rId7" w:history="1">
        <w:r w:rsidRPr="00295780">
          <w:rPr>
            <w:rFonts w:ascii="Times New Roman" w:eastAsia="Times New Roman" w:hAnsi="Times New Roman" w:cs="Times New Roman"/>
            <w:b/>
            <w:bCs/>
            <w:i/>
            <w:iCs/>
            <w:color w:val="0000FF"/>
            <w:sz w:val="24"/>
            <w:szCs w:val="24"/>
            <w:u w:val="single"/>
            <w:lang w:eastAsia="fr-FR"/>
          </w:rPr>
          <w:t>SIIC de Paris</w:t>
        </w:r>
      </w:hyperlink>
      <w:r w:rsidRPr="00295780">
        <w:rPr>
          <w:rFonts w:ascii="Times New Roman" w:eastAsia="Times New Roman" w:hAnsi="Times New Roman" w:cs="Times New Roman"/>
          <w:sz w:val="24"/>
          <w:szCs w:val="24"/>
          <w:lang w:eastAsia="fr-FR"/>
        </w:rPr>
        <w:t xml:space="preserve"> en échange d'une participation de 30% dans cette société immobilière. Du côté des foncières de plus petite taille, Foncière </w:t>
      </w:r>
      <w:proofErr w:type="spellStart"/>
      <w:r w:rsidRPr="00295780">
        <w:rPr>
          <w:rFonts w:ascii="Times New Roman" w:eastAsia="Times New Roman" w:hAnsi="Times New Roman" w:cs="Times New Roman"/>
          <w:sz w:val="24"/>
          <w:szCs w:val="24"/>
          <w:lang w:eastAsia="fr-FR"/>
        </w:rPr>
        <w:t>Inéa</w:t>
      </w:r>
      <w:proofErr w:type="spellEnd"/>
      <w:r w:rsidRPr="00295780">
        <w:rPr>
          <w:rFonts w:ascii="Times New Roman" w:eastAsia="Times New Roman" w:hAnsi="Times New Roman" w:cs="Times New Roman"/>
          <w:sz w:val="24"/>
          <w:szCs w:val="24"/>
          <w:lang w:eastAsia="fr-FR"/>
        </w:rPr>
        <w:t xml:space="preserve"> bat des records avec une hausse de 16%. Tour Eiffel, en revanche, a vu ses revenus locatifs baisser de 3,8% après plusieurs arbitrages.</w:t>
      </w:r>
    </w:p>
    <w:p w:rsidR="00295780" w:rsidRPr="00295780" w:rsidRDefault="00295780" w:rsidP="00295780">
      <w:pPr>
        <w:spacing w:before="100" w:beforeAutospacing="1" w:after="100" w:afterAutospacing="1" w:line="240" w:lineRule="auto"/>
        <w:rPr>
          <w:rFonts w:ascii="Times New Roman" w:eastAsia="Times New Roman" w:hAnsi="Times New Roman" w:cs="Times New Roman"/>
          <w:sz w:val="24"/>
          <w:szCs w:val="24"/>
          <w:lang w:eastAsia="fr-FR"/>
        </w:rPr>
      </w:pPr>
      <w:r w:rsidRPr="00295780">
        <w:rPr>
          <w:rFonts w:ascii="Times New Roman" w:eastAsia="Times New Roman" w:hAnsi="Times New Roman" w:cs="Times New Roman"/>
          <w:b/>
          <w:bCs/>
          <w:sz w:val="24"/>
          <w:szCs w:val="24"/>
          <w:lang w:eastAsia="fr-FR"/>
        </w:rPr>
        <w:t xml:space="preserve">Des actifs nets </w:t>
      </w:r>
      <w:proofErr w:type="spellStart"/>
      <w:r w:rsidRPr="00295780">
        <w:rPr>
          <w:rFonts w:ascii="Times New Roman" w:eastAsia="Times New Roman" w:hAnsi="Times New Roman" w:cs="Times New Roman"/>
          <w:b/>
          <w:bCs/>
          <w:sz w:val="24"/>
          <w:szCs w:val="24"/>
          <w:lang w:eastAsia="fr-FR"/>
        </w:rPr>
        <w:t>réevalués</w:t>
      </w:r>
      <w:proofErr w:type="spellEnd"/>
      <w:r w:rsidRPr="00295780">
        <w:rPr>
          <w:rFonts w:ascii="Times New Roman" w:eastAsia="Times New Roman" w:hAnsi="Times New Roman" w:cs="Times New Roman"/>
          <w:b/>
          <w:bCs/>
          <w:sz w:val="24"/>
          <w:szCs w:val="24"/>
          <w:lang w:eastAsia="fr-FR"/>
        </w:rPr>
        <w:t xml:space="preserve"> en hausse généralisée</w:t>
      </w:r>
    </w:p>
    <w:p w:rsidR="00295780" w:rsidRPr="00295780" w:rsidRDefault="00295780" w:rsidP="00295780">
      <w:pPr>
        <w:spacing w:before="100" w:beforeAutospacing="1" w:after="100" w:afterAutospacing="1" w:line="240" w:lineRule="auto"/>
        <w:rPr>
          <w:rFonts w:ascii="Times New Roman" w:eastAsia="Times New Roman" w:hAnsi="Times New Roman" w:cs="Times New Roman"/>
          <w:sz w:val="24"/>
          <w:szCs w:val="24"/>
          <w:lang w:eastAsia="fr-FR"/>
        </w:rPr>
      </w:pPr>
      <w:r w:rsidRPr="00295780">
        <w:rPr>
          <w:rFonts w:ascii="Times New Roman" w:eastAsia="Times New Roman" w:hAnsi="Times New Roman" w:cs="Times New Roman"/>
          <w:sz w:val="24"/>
          <w:szCs w:val="24"/>
          <w:lang w:eastAsia="fr-FR"/>
        </w:rPr>
        <w:t xml:space="preserve">Autre critère démontrant la bonne santé de ces sociétés immobilières : leur actif net réévalué (ANR) est lui aussi en progrès assez généralisé. La preuve que la valorisation des biens retrouve une pente ascendante après un mouvement inverse initié au lendemain de l'éclatement de la bulle, mi 2008. </w:t>
      </w:r>
      <w:r w:rsidRPr="00295780">
        <w:rPr>
          <w:rFonts w:ascii="Times New Roman" w:eastAsia="Times New Roman" w:hAnsi="Times New Roman" w:cs="Times New Roman"/>
          <w:sz w:val="24"/>
          <w:szCs w:val="24"/>
          <w:highlight w:val="yellow"/>
          <w:lang w:eastAsia="fr-FR"/>
        </w:rPr>
        <w:t xml:space="preserve">l'ANR de </w:t>
      </w:r>
      <w:proofErr w:type="spellStart"/>
      <w:r w:rsidRPr="00295780">
        <w:rPr>
          <w:rFonts w:ascii="Times New Roman" w:eastAsia="Times New Roman" w:hAnsi="Times New Roman" w:cs="Times New Roman"/>
          <w:sz w:val="24"/>
          <w:szCs w:val="24"/>
          <w:highlight w:val="yellow"/>
          <w:lang w:eastAsia="fr-FR"/>
        </w:rPr>
        <w:t>Klépierre</w:t>
      </w:r>
      <w:proofErr w:type="spellEnd"/>
      <w:r w:rsidRPr="00295780">
        <w:rPr>
          <w:rFonts w:ascii="Times New Roman" w:eastAsia="Times New Roman" w:hAnsi="Times New Roman" w:cs="Times New Roman"/>
          <w:sz w:val="24"/>
          <w:szCs w:val="24"/>
          <w:highlight w:val="yellow"/>
          <w:lang w:eastAsia="fr-FR"/>
        </w:rPr>
        <w:t xml:space="preserve"> s'inscrit ainsi en hausse de 11,5%</w:t>
      </w:r>
      <w:r w:rsidRPr="00295780">
        <w:rPr>
          <w:rFonts w:ascii="Times New Roman" w:eastAsia="Times New Roman" w:hAnsi="Times New Roman" w:cs="Times New Roman"/>
          <w:sz w:val="24"/>
          <w:szCs w:val="24"/>
          <w:lang w:eastAsia="fr-FR"/>
        </w:rPr>
        <w:t xml:space="preserve"> à </w:t>
      </w:r>
      <w:r w:rsidRPr="00295780">
        <w:rPr>
          <w:rFonts w:ascii="Times New Roman" w:eastAsia="Times New Roman" w:hAnsi="Times New Roman" w:cs="Times New Roman"/>
          <w:sz w:val="24"/>
          <w:szCs w:val="24"/>
          <w:lang w:eastAsia="fr-FR"/>
        </w:rPr>
        <w:lastRenderedPageBreak/>
        <w:t xml:space="preserve">31,40 euros par action, celui </w:t>
      </w:r>
      <w:r w:rsidRPr="00295780">
        <w:rPr>
          <w:rFonts w:ascii="Times New Roman" w:eastAsia="Times New Roman" w:hAnsi="Times New Roman" w:cs="Times New Roman"/>
          <w:sz w:val="24"/>
          <w:szCs w:val="24"/>
          <w:highlight w:val="yellow"/>
          <w:lang w:eastAsia="fr-FR"/>
        </w:rPr>
        <w:t>d'Unibail en croissance de 4,8%</w:t>
      </w:r>
      <w:r w:rsidRPr="00295780">
        <w:rPr>
          <w:rFonts w:ascii="Times New Roman" w:eastAsia="Times New Roman" w:hAnsi="Times New Roman" w:cs="Times New Roman"/>
          <w:sz w:val="24"/>
          <w:szCs w:val="24"/>
          <w:lang w:eastAsia="fr-FR"/>
        </w:rPr>
        <w:t xml:space="preserve"> à 143,10 euros par titre, celui de </w:t>
      </w:r>
      <w:r w:rsidRPr="00295780">
        <w:rPr>
          <w:rFonts w:ascii="Times New Roman" w:eastAsia="Times New Roman" w:hAnsi="Times New Roman" w:cs="Times New Roman"/>
          <w:sz w:val="24"/>
          <w:szCs w:val="24"/>
          <w:highlight w:val="yellow"/>
          <w:lang w:eastAsia="fr-FR"/>
        </w:rPr>
        <w:t>Foncière des régions en progrès de 2,8%</w:t>
      </w:r>
      <w:r w:rsidRPr="00295780">
        <w:rPr>
          <w:rFonts w:ascii="Times New Roman" w:eastAsia="Times New Roman" w:hAnsi="Times New Roman" w:cs="Times New Roman"/>
          <w:sz w:val="24"/>
          <w:szCs w:val="24"/>
          <w:lang w:eastAsia="fr-FR"/>
        </w:rPr>
        <w:t xml:space="preserve"> à 83,10 euros par action, quand </w:t>
      </w:r>
      <w:proofErr w:type="spellStart"/>
      <w:r w:rsidRPr="00295780">
        <w:rPr>
          <w:rFonts w:ascii="Times New Roman" w:eastAsia="Times New Roman" w:hAnsi="Times New Roman" w:cs="Times New Roman"/>
          <w:sz w:val="24"/>
          <w:szCs w:val="24"/>
          <w:highlight w:val="yellow"/>
          <w:lang w:eastAsia="fr-FR"/>
        </w:rPr>
        <w:t>Gécina</w:t>
      </w:r>
      <w:proofErr w:type="spellEnd"/>
      <w:r w:rsidRPr="00295780">
        <w:rPr>
          <w:rFonts w:ascii="Times New Roman" w:eastAsia="Times New Roman" w:hAnsi="Times New Roman" w:cs="Times New Roman"/>
          <w:sz w:val="24"/>
          <w:szCs w:val="24"/>
          <w:highlight w:val="yellow"/>
          <w:lang w:eastAsia="fr-FR"/>
        </w:rPr>
        <w:t xml:space="preserve"> voit le sien augmenter de 2%</w:t>
      </w:r>
      <w:r w:rsidRPr="00295780">
        <w:rPr>
          <w:rFonts w:ascii="Times New Roman" w:eastAsia="Times New Roman" w:hAnsi="Times New Roman" w:cs="Times New Roman"/>
          <w:sz w:val="24"/>
          <w:szCs w:val="24"/>
          <w:lang w:eastAsia="fr-FR"/>
        </w:rPr>
        <w:t xml:space="preserve"> à 101,70 euros par titre, </w:t>
      </w:r>
      <w:proofErr w:type="spellStart"/>
      <w:r w:rsidRPr="00295780">
        <w:rPr>
          <w:rFonts w:ascii="Times New Roman" w:eastAsia="Times New Roman" w:hAnsi="Times New Roman" w:cs="Times New Roman"/>
          <w:sz w:val="24"/>
          <w:szCs w:val="24"/>
          <w:lang w:eastAsia="fr-FR"/>
        </w:rPr>
        <w:t>Icade</w:t>
      </w:r>
      <w:proofErr w:type="spellEnd"/>
      <w:r w:rsidRPr="00295780">
        <w:rPr>
          <w:rFonts w:ascii="Times New Roman" w:eastAsia="Times New Roman" w:hAnsi="Times New Roman" w:cs="Times New Roman"/>
          <w:sz w:val="24"/>
          <w:szCs w:val="24"/>
          <w:lang w:eastAsia="fr-FR"/>
        </w:rPr>
        <w:t xml:space="preserve"> de 2,5% à 83,70 euros par action, </w:t>
      </w:r>
      <w:r w:rsidRPr="00295780">
        <w:rPr>
          <w:rFonts w:ascii="Times New Roman" w:eastAsia="Times New Roman" w:hAnsi="Times New Roman" w:cs="Times New Roman"/>
          <w:sz w:val="24"/>
          <w:szCs w:val="24"/>
          <w:highlight w:val="yellow"/>
          <w:lang w:eastAsia="fr-FR"/>
        </w:rPr>
        <w:t>SFL de 5,4%</w:t>
      </w:r>
      <w:r w:rsidRPr="00295780">
        <w:rPr>
          <w:rFonts w:ascii="Times New Roman" w:eastAsia="Times New Roman" w:hAnsi="Times New Roman" w:cs="Times New Roman"/>
          <w:sz w:val="24"/>
          <w:szCs w:val="24"/>
          <w:lang w:eastAsia="fr-FR"/>
        </w:rPr>
        <w:t xml:space="preserve"> à 42,80 euros par titre, </w:t>
      </w:r>
      <w:proofErr w:type="spellStart"/>
      <w:r w:rsidRPr="00295780">
        <w:rPr>
          <w:rFonts w:ascii="Times New Roman" w:eastAsia="Times New Roman" w:hAnsi="Times New Roman" w:cs="Times New Roman"/>
          <w:sz w:val="24"/>
          <w:szCs w:val="24"/>
          <w:highlight w:val="yellow"/>
          <w:lang w:eastAsia="fr-FR"/>
        </w:rPr>
        <w:t>Mercialys</w:t>
      </w:r>
      <w:proofErr w:type="spellEnd"/>
      <w:r w:rsidRPr="00295780">
        <w:rPr>
          <w:rFonts w:ascii="Times New Roman" w:eastAsia="Times New Roman" w:hAnsi="Times New Roman" w:cs="Times New Roman"/>
          <w:sz w:val="24"/>
          <w:szCs w:val="24"/>
          <w:highlight w:val="yellow"/>
          <w:lang w:eastAsia="fr-FR"/>
        </w:rPr>
        <w:t xml:space="preserve"> de 3,1%</w:t>
      </w:r>
      <w:r w:rsidRPr="00295780">
        <w:rPr>
          <w:rFonts w:ascii="Times New Roman" w:eastAsia="Times New Roman" w:hAnsi="Times New Roman" w:cs="Times New Roman"/>
          <w:sz w:val="24"/>
          <w:szCs w:val="24"/>
          <w:lang w:eastAsia="fr-FR"/>
        </w:rPr>
        <w:t xml:space="preserve"> à 29,25 euros par action, Foncière </w:t>
      </w:r>
      <w:proofErr w:type="spellStart"/>
      <w:r w:rsidRPr="00295780">
        <w:rPr>
          <w:rFonts w:ascii="Times New Roman" w:eastAsia="Times New Roman" w:hAnsi="Times New Roman" w:cs="Times New Roman"/>
          <w:sz w:val="24"/>
          <w:szCs w:val="24"/>
          <w:lang w:eastAsia="fr-FR"/>
        </w:rPr>
        <w:t>Inéa</w:t>
      </w:r>
      <w:proofErr w:type="spellEnd"/>
      <w:r w:rsidRPr="00295780">
        <w:rPr>
          <w:rFonts w:ascii="Times New Roman" w:eastAsia="Times New Roman" w:hAnsi="Times New Roman" w:cs="Times New Roman"/>
          <w:sz w:val="24"/>
          <w:szCs w:val="24"/>
          <w:lang w:eastAsia="fr-FR"/>
        </w:rPr>
        <w:t xml:space="preserve"> de 11% à 48,40 euros par titre alors que celui de Tour Eiffel est passé de 68,60 à 69,20 euros par action.</w:t>
      </w:r>
    </w:p>
    <w:p w:rsidR="00295780" w:rsidRPr="00295780" w:rsidRDefault="00295780" w:rsidP="00295780">
      <w:pPr>
        <w:spacing w:before="100" w:beforeAutospacing="1" w:after="100" w:afterAutospacing="1" w:line="240" w:lineRule="auto"/>
        <w:rPr>
          <w:rFonts w:ascii="Times New Roman" w:eastAsia="Times New Roman" w:hAnsi="Times New Roman" w:cs="Times New Roman"/>
          <w:sz w:val="24"/>
          <w:szCs w:val="24"/>
          <w:lang w:eastAsia="fr-FR"/>
        </w:rPr>
      </w:pPr>
      <w:r w:rsidRPr="00295780">
        <w:rPr>
          <w:rFonts w:ascii="Times New Roman" w:eastAsia="Times New Roman" w:hAnsi="Times New Roman" w:cs="Times New Roman"/>
          <w:b/>
          <w:bCs/>
          <w:sz w:val="24"/>
          <w:szCs w:val="24"/>
          <w:lang w:eastAsia="fr-FR"/>
        </w:rPr>
        <w:t>Un endettement bien maîtrisé</w:t>
      </w:r>
    </w:p>
    <w:p w:rsidR="00295780" w:rsidRPr="00295780" w:rsidRDefault="00295780" w:rsidP="00295780">
      <w:pPr>
        <w:spacing w:before="100" w:beforeAutospacing="1" w:after="100" w:afterAutospacing="1" w:line="240" w:lineRule="auto"/>
        <w:rPr>
          <w:rFonts w:ascii="Times New Roman" w:eastAsia="Times New Roman" w:hAnsi="Times New Roman" w:cs="Times New Roman"/>
          <w:sz w:val="24"/>
          <w:szCs w:val="24"/>
          <w:lang w:eastAsia="fr-FR"/>
        </w:rPr>
      </w:pPr>
      <w:r w:rsidRPr="00295780">
        <w:rPr>
          <w:rFonts w:ascii="Times New Roman" w:eastAsia="Times New Roman" w:hAnsi="Times New Roman" w:cs="Times New Roman"/>
          <w:sz w:val="24"/>
          <w:szCs w:val="24"/>
          <w:lang w:eastAsia="fr-FR"/>
        </w:rPr>
        <w:t xml:space="preserve">Enfin, dernier élément qui semble véritablement rassurer les investisseurs vis-à-vis de ces entreprises : elles affichent presque toutes des ratios d'endettement rapporté à leurs actifs en baisse par rapport à 2010 ou tout au moins dans la zone des 40%, jugée raisonnable pour cette profession qui utilise moins, aujourd'hui, l'effet de levier mais ne peut envisager de prospérer sans utiliser l'outil de l'endettement. Les </w:t>
      </w:r>
      <w:r w:rsidRPr="00295780">
        <w:rPr>
          <w:rFonts w:ascii="Times New Roman" w:eastAsia="Times New Roman" w:hAnsi="Times New Roman" w:cs="Times New Roman"/>
          <w:sz w:val="24"/>
          <w:szCs w:val="24"/>
          <w:highlight w:val="yellow"/>
          <w:lang w:eastAsia="fr-FR"/>
        </w:rPr>
        <w:t>LTV (</w:t>
      </w:r>
      <w:proofErr w:type="spellStart"/>
      <w:r w:rsidRPr="00295780">
        <w:rPr>
          <w:rFonts w:ascii="Times New Roman" w:eastAsia="Times New Roman" w:hAnsi="Times New Roman" w:cs="Times New Roman"/>
          <w:sz w:val="24"/>
          <w:szCs w:val="24"/>
          <w:highlight w:val="yellow"/>
          <w:lang w:eastAsia="fr-FR"/>
        </w:rPr>
        <w:t>loan</w:t>
      </w:r>
      <w:proofErr w:type="spellEnd"/>
      <w:r w:rsidRPr="00295780">
        <w:rPr>
          <w:rFonts w:ascii="Times New Roman" w:eastAsia="Times New Roman" w:hAnsi="Times New Roman" w:cs="Times New Roman"/>
          <w:sz w:val="24"/>
          <w:szCs w:val="24"/>
          <w:highlight w:val="yellow"/>
          <w:lang w:eastAsia="fr-FR"/>
        </w:rPr>
        <w:t xml:space="preserve"> to value</w:t>
      </w:r>
      <w:r w:rsidRPr="00295780">
        <w:rPr>
          <w:rFonts w:ascii="Times New Roman" w:eastAsia="Times New Roman" w:hAnsi="Times New Roman" w:cs="Times New Roman"/>
          <w:sz w:val="24"/>
          <w:szCs w:val="24"/>
          <w:lang w:eastAsia="fr-FR"/>
        </w:rPr>
        <w:t xml:space="preserve">) des plus grands du secteur sont ainsi quasiment sur le même niveau : </w:t>
      </w:r>
      <w:r w:rsidRPr="00295780">
        <w:rPr>
          <w:rFonts w:ascii="Times New Roman" w:eastAsia="Times New Roman" w:hAnsi="Times New Roman" w:cs="Times New Roman"/>
          <w:sz w:val="24"/>
          <w:szCs w:val="24"/>
          <w:highlight w:val="yellow"/>
          <w:lang w:eastAsia="fr-FR"/>
        </w:rPr>
        <w:t xml:space="preserve">45% pour </w:t>
      </w:r>
      <w:proofErr w:type="spellStart"/>
      <w:r w:rsidRPr="00295780">
        <w:rPr>
          <w:rFonts w:ascii="Times New Roman" w:eastAsia="Times New Roman" w:hAnsi="Times New Roman" w:cs="Times New Roman"/>
          <w:sz w:val="24"/>
          <w:szCs w:val="24"/>
          <w:highlight w:val="yellow"/>
          <w:lang w:eastAsia="fr-FR"/>
        </w:rPr>
        <w:t>Klépierre</w:t>
      </w:r>
      <w:proofErr w:type="spellEnd"/>
      <w:r w:rsidRPr="00295780">
        <w:rPr>
          <w:rFonts w:ascii="Times New Roman" w:eastAsia="Times New Roman" w:hAnsi="Times New Roman" w:cs="Times New Roman"/>
          <w:sz w:val="24"/>
          <w:szCs w:val="24"/>
          <w:highlight w:val="yellow"/>
          <w:lang w:eastAsia="fr-FR"/>
        </w:rPr>
        <w:t>,</w:t>
      </w:r>
      <w:r w:rsidRPr="00295780">
        <w:rPr>
          <w:rFonts w:ascii="Times New Roman" w:eastAsia="Times New Roman" w:hAnsi="Times New Roman" w:cs="Times New Roman"/>
          <w:sz w:val="24"/>
          <w:szCs w:val="24"/>
          <w:lang w:eastAsia="fr-FR"/>
        </w:rPr>
        <w:t xml:space="preserve"> 37% pour Unibail-</w:t>
      </w:r>
      <w:proofErr w:type="spellStart"/>
      <w:r w:rsidRPr="00295780">
        <w:rPr>
          <w:rFonts w:ascii="Times New Roman" w:eastAsia="Times New Roman" w:hAnsi="Times New Roman" w:cs="Times New Roman"/>
          <w:sz w:val="24"/>
          <w:szCs w:val="24"/>
          <w:lang w:eastAsia="fr-FR"/>
        </w:rPr>
        <w:t>Rodamco</w:t>
      </w:r>
      <w:proofErr w:type="spellEnd"/>
      <w:r w:rsidRPr="00295780">
        <w:rPr>
          <w:rFonts w:ascii="Times New Roman" w:eastAsia="Times New Roman" w:hAnsi="Times New Roman" w:cs="Times New Roman"/>
          <w:sz w:val="24"/>
          <w:szCs w:val="24"/>
          <w:lang w:eastAsia="fr-FR"/>
        </w:rPr>
        <w:t xml:space="preserve">, 47,1% pour Foncière des régions, 42,6% pour </w:t>
      </w:r>
      <w:proofErr w:type="spellStart"/>
      <w:r w:rsidRPr="00295780">
        <w:rPr>
          <w:rFonts w:ascii="Times New Roman" w:eastAsia="Times New Roman" w:hAnsi="Times New Roman" w:cs="Times New Roman"/>
          <w:sz w:val="24"/>
          <w:szCs w:val="24"/>
          <w:lang w:eastAsia="fr-FR"/>
        </w:rPr>
        <w:t>Gécina</w:t>
      </w:r>
      <w:proofErr w:type="spellEnd"/>
      <w:r w:rsidRPr="00295780">
        <w:rPr>
          <w:rFonts w:ascii="Times New Roman" w:eastAsia="Times New Roman" w:hAnsi="Times New Roman" w:cs="Times New Roman"/>
          <w:sz w:val="24"/>
          <w:szCs w:val="24"/>
          <w:lang w:eastAsia="fr-FR"/>
        </w:rPr>
        <w:t xml:space="preserve">, 35% pour SFL, 40% pour </w:t>
      </w:r>
      <w:proofErr w:type="spellStart"/>
      <w:r w:rsidRPr="00295780">
        <w:rPr>
          <w:rFonts w:ascii="Times New Roman" w:eastAsia="Times New Roman" w:hAnsi="Times New Roman" w:cs="Times New Roman"/>
          <w:sz w:val="24"/>
          <w:szCs w:val="24"/>
          <w:lang w:eastAsia="fr-FR"/>
        </w:rPr>
        <w:t>Icade</w:t>
      </w:r>
      <w:proofErr w:type="spellEnd"/>
      <w:r w:rsidRPr="00295780">
        <w:rPr>
          <w:rFonts w:ascii="Times New Roman" w:eastAsia="Times New Roman" w:hAnsi="Times New Roman" w:cs="Times New Roman"/>
          <w:sz w:val="24"/>
          <w:szCs w:val="24"/>
          <w:lang w:eastAsia="fr-FR"/>
        </w:rPr>
        <w:t xml:space="preserve">, 40% également pour </w:t>
      </w:r>
      <w:proofErr w:type="spellStart"/>
      <w:r w:rsidRPr="00295780">
        <w:rPr>
          <w:rFonts w:ascii="Times New Roman" w:eastAsia="Times New Roman" w:hAnsi="Times New Roman" w:cs="Times New Roman"/>
          <w:sz w:val="24"/>
          <w:szCs w:val="24"/>
          <w:lang w:eastAsia="fr-FR"/>
        </w:rPr>
        <w:t>Mercialys</w:t>
      </w:r>
      <w:proofErr w:type="spellEnd"/>
      <w:r w:rsidRPr="00295780">
        <w:rPr>
          <w:rFonts w:ascii="Times New Roman" w:eastAsia="Times New Roman" w:hAnsi="Times New Roman" w:cs="Times New Roman"/>
          <w:sz w:val="24"/>
          <w:szCs w:val="24"/>
          <w:lang w:eastAsia="fr-FR"/>
        </w:rPr>
        <w:t xml:space="preserve"> et Foncière </w:t>
      </w:r>
      <w:proofErr w:type="spellStart"/>
      <w:r w:rsidRPr="00295780">
        <w:rPr>
          <w:rFonts w:ascii="Times New Roman" w:eastAsia="Times New Roman" w:hAnsi="Times New Roman" w:cs="Times New Roman"/>
          <w:sz w:val="24"/>
          <w:szCs w:val="24"/>
          <w:lang w:eastAsia="fr-FR"/>
        </w:rPr>
        <w:t>Inéa</w:t>
      </w:r>
      <w:proofErr w:type="spellEnd"/>
      <w:r w:rsidRPr="00295780">
        <w:rPr>
          <w:rFonts w:ascii="Times New Roman" w:eastAsia="Times New Roman" w:hAnsi="Times New Roman" w:cs="Times New Roman"/>
          <w:sz w:val="24"/>
          <w:szCs w:val="24"/>
          <w:lang w:eastAsia="fr-FR"/>
        </w:rPr>
        <w:t xml:space="preserve"> </w:t>
      </w:r>
      <w:proofErr w:type="spellStart"/>
      <w:r w:rsidRPr="00295780">
        <w:rPr>
          <w:rFonts w:ascii="Times New Roman" w:eastAsia="Times New Roman" w:hAnsi="Times New Roman" w:cs="Times New Roman"/>
          <w:sz w:val="24"/>
          <w:szCs w:val="24"/>
          <w:lang w:eastAsia="fr-FR"/>
        </w:rPr>
        <w:t>laors</w:t>
      </w:r>
      <w:proofErr w:type="spellEnd"/>
      <w:r w:rsidRPr="00295780">
        <w:rPr>
          <w:rFonts w:ascii="Times New Roman" w:eastAsia="Times New Roman" w:hAnsi="Times New Roman" w:cs="Times New Roman"/>
          <w:sz w:val="24"/>
          <w:szCs w:val="24"/>
          <w:lang w:eastAsia="fr-FR"/>
        </w:rPr>
        <w:t xml:space="preserve"> que seule </w:t>
      </w:r>
      <w:r w:rsidRPr="00295780">
        <w:rPr>
          <w:rFonts w:ascii="Times New Roman" w:eastAsia="Times New Roman" w:hAnsi="Times New Roman" w:cs="Times New Roman"/>
          <w:sz w:val="24"/>
          <w:szCs w:val="24"/>
          <w:highlight w:val="yellow"/>
          <w:lang w:eastAsia="fr-FR"/>
        </w:rPr>
        <w:t>Tour Eiffel dépasse le seuil des 50% à 57,6%.</w:t>
      </w:r>
      <w:bookmarkStart w:id="0" w:name="_GoBack"/>
      <w:bookmarkEnd w:id="0"/>
    </w:p>
    <w:p w:rsidR="00295780" w:rsidRPr="00295780" w:rsidRDefault="00295780" w:rsidP="00295780">
      <w:pPr>
        <w:spacing w:before="100" w:beforeAutospacing="1" w:after="100" w:afterAutospacing="1" w:line="240" w:lineRule="auto"/>
        <w:rPr>
          <w:rFonts w:ascii="Times New Roman" w:eastAsia="Times New Roman" w:hAnsi="Times New Roman" w:cs="Times New Roman"/>
          <w:sz w:val="24"/>
          <w:szCs w:val="24"/>
          <w:lang w:eastAsia="fr-FR"/>
        </w:rPr>
      </w:pPr>
      <w:r w:rsidRPr="00295780">
        <w:rPr>
          <w:rFonts w:ascii="Times New Roman" w:eastAsia="Times New Roman" w:hAnsi="Times New Roman" w:cs="Times New Roman"/>
          <w:b/>
          <w:bCs/>
          <w:sz w:val="24"/>
          <w:szCs w:val="24"/>
          <w:lang w:eastAsia="fr-FR"/>
        </w:rPr>
        <w:t>Des cours de Bourse encore à la traîne</w:t>
      </w:r>
    </w:p>
    <w:p w:rsidR="00295780" w:rsidRPr="00295780" w:rsidRDefault="00295780" w:rsidP="00295780">
      <w:pPr>
        <w:spacing w:before="100" w:beforeAutospacing="1" w:after="100" w:afterAutospacing="1" w:line="240" w:lineRule="auto"/>
        <w:rPr>
          <w:rFonts w:ascii="Times New Roman" w:eastAsia="Times New Roman" w:hAnsi="Times New Roman" w:cs="Times New Roman"/>
          <w:sz w:val="24"/>
          <w:szCs w:val="24"/>
          <w:lang w:eastAsia="fr-FR"/>
        </w:rPr>
      </w:pPr>
      <w:r w:rsidRPr="00295780">
        <w:rPr>
          <w:rFonts w:ascii="Times New Roman" w:eastAsia="Times New Roman" w:hAnsi="Times New Roman" w:cs="Times New Roman"/>
          <w:sz w:val="24"/>
          <w:szCs w:val="24"/>
          <w:lang w:eastAsia="fr-FR"/>
        </w:rPr>
        <w:t>Cette bonne santé financière ne se retrouve pourtant pas encore dans les cours de Bourse. Les valorisations de leur portefeuille est, certes, bien loin des niveaux atteints en 2007. Mais là où ces sociétés se négociaient quasiment toujours avec une prime par rapport à leur valeur d'actifs nets (ANR), elles se traitent toutes aujourd'hui avec une large décote (entre 20 et 50%) par rapport à un ANR pourtant déjà revu à la baisse. En cause, des valorisations effectivement réduites mais aussi, une mauvaise image, les foncières étant associées aux valeurs financières particulièrement attaquées depuis 2008. De même, ces entreprises ont-elles des flottants très peu liquides, situation qui fait peur aux investisseurs soucieux de se constituer des portefeuilles faciles à vendre en période de turbulences.</w:t>
      </w:r>
    </w:p>
    <w:p w:rsidR="00295780" w:rsidRPr="00295780" w:rsidRDefault="00295780" w:rsidP="00295780">
      <w:pPr>
        <w:spacing w:before="100" w:beforeAutospacing="1" w:after="100" w:afterAutospacing="1" w:line="240" w:lineRule="auto"/>
        <w:rPr>
          <w:rFonts w:ascii="Times New Roman" w:eastAsia="Times New Roman" w:hAnsi="Times New Roman" w:cs="Times New Roman"/>
          <w:sz w:val="24"/>
          <w:szCs w:val="24"/>
          <w:lang w:eastAsia="fr-FR"/>
        </w:rPr>
      </w:pPr>
      <w:r w:rsidRPr="00295780">
        <w:rPr>
          <w:rFonts w:ascii="Times New Roman" w:eastAsia="Times New Roman" w:hAnsi="Times New Roman" w:cs="Times New Roman"/>
          <w:b/>
          <w:bCs/>
          <w:sz w:val="24"/>
          <w:szCs w:val="24"/>
          <w:lang w:eastAsia="fr-FR"/>
        </w:rPr>
        <w:t>Des performances en avance par rapport aux indices de référence</w:t>
      </w:r>
    </w:p>
    <w:p w:rsidR="00295780" w:rsidRPr="00295780" w:rsidRDefault="00295780" w:rsidP="00295780">
      <w:pPr>
        <w:spacing w:before="100" w:beforeAutospacing="1" w:after="100" w:afterAutospacing="1" w:line="240" w:lineRule="auto"/>
        <w:rPr>
          <w:rFonts w:ascii="Times New Roman" w:eastAsia="Times New Roman" w:hAnsi="Times New Roman" w:cs="Times New Roman"/>
          <w:sz w:val="24"/>
          <w:szCs w:val="24"/>
          <w:lang w:eastAsia="fr-FR"/>
        </w:rPr>
      </w:pPr>
      <w:r w:rsidRPr="00295780">
        <w:rPr>
          <w:rFonts w:ascii="Times New Roman" w:eastAsia="Times New Roman" w:hAnsi="Times New Roman" w:cs="Times New Roman"/>
          <w:sz w:val="24"/>
          <w:szCs w:val="24"/>
          <w:lang w:eastAsia="fr-FR"/>
        </w:rPr>
        <w:t xml:space="preserve">Depuis le début de l'année pourtant, les foncières suivent et même devancent l'évolution de leurs indices respectifs. </w:t>
      </w:r>
      <w:proofErr w:type="spellStart"/>
      <w:r w:rsidRPr="00295780">
        <w:rPr>
          <w:rFonts w:ascii="Times New Roman" w:eastAsia="Times New Roman" w:hAnsi="Times New Roman" w:cs="Times New Roman"/>
          <w:sz w:val="24"/>
          <w:szCs w:val="24"/>
          <w:lang w:eastAsia="fr-FR"/>
        </w:rPr>
        <w:t>Klépierre</w:t>
      </w:r>
      <w:proofErr w:type="spellEnd"/>
      <w:r w:rsidRPr="00295780">
        <w:rPr>
          <w:rFonts w:ascii="Times New Roman" w:eastAsia="Times New Roman" w:hAnsi="Times New Roman" w:cs="Times New Roman"/>
          <w:sz w:val="24"/>
          <w:szCs w:val="24"/>
          <w:lang w:eastAsia="fr-FR"/>
        </w:rPr>
        <w:t xml:space="preserve"> s'adjuge ainsi 20,7%, Unibail-</w:t>
      </w:r>
      <w:proofErr w:type="spellStart"/>
      <w:r w:rsidRPr="00295780">
        <w:rPr>
          <w:rFonts w:ascii="Times New Roman" w:eastAsia="Times New Roman" w:hAnsi="Times New Roman" w:cs="Times New Roman"/>
          <w:sz w:val="24"/>
          <w:szCs w:val="24"/>
          <w:lang w:eastAsia="fr-FR"/>
        </w:rPr>
        <w:t>Rodamco</w:t>
      </w:r>
      <w:proofErr w:type="spellEnd"/>
      <w:r w:rsidRPr="00295780">
        <w:rPr>
          <w:rFonts w:ascii="Times New Roman" w:eastAsia="Times New Roman" w:hAnsi="Times New Roman" w:cs="Times New Roman"/>
          <w:sz w:val="24"/>
          <w:szCs w:val="24"/>
          <w:lang w:eastAsia="fr-FR"/>
        </w:rPr>
        <w:t xml:space="preserve"> 10,7%, Foncière des régions 25,7%, </w:t>
      </w:r>
      <w:proofErr w:type="spellStart"/>
      <w:r w:rsidRPr="00295780">
        <w:rPr>
          <w:rFonts w:ascii="Times New Roman" w:eastAsia="Times New Roman" w:hAnsi="Times New Roman" w:cs="Times New Roman"/>
          <w:sz w:val="24"/>
          <w:szCs w:val="24"/>
          <w:lang w:eastAsia="fr-FR"/>
        </w:rPr>
        <w:t>Icade</w:t>
      </w:r>
      <w:proofErr w:type="spellEnd"/>
      <w:r w:rsidRPr="00295780">
        <w:rPr>
          <w:rFonts w:ascii="Times New Roman" w:eastAsia="Times New Roman" w:hAnsi="Times New Roman" w:cs="Times New Roman"/>
          <w:sz w:val="24"/>
          <w:szCs w:val="24"/>
          <w:lang w:eastAsia="fr-FR"/>
        </w:rPr>
        <w:t xml:space="preserve">, 14,8%, </w:t>
      </w:r>
      <w:proofErr w:type="spellStart"/>
      <w:r w:rsidRPr="00295780">
        <w:rPr>
          <w:rFonts w:ascii="Times New Roman" w:eastAsia="Times New Roman" w:hAnsi="Times New Roman" w:cs="Times New Roman"/>
          <w:sz w:val="24"/>
          <w:szCs w:val="24"/>
          <w:lang w:eastAsia="fr-FR"/>
        </w:rPr>
        <w:t>Gécina</w:t>
      </w:r>
      <w:proofErr w:type="spellEnd"/>
      <w:r w:rsidRPr="00295780">
        <w:rPr>
          <w:rFonts w:ascii="Times New Roman" w:eastAsia="Times New Roman" w:hAnsi="Times New Roman" w:cs="Times New Roman"/>
          <w:sz w:val="24"/>
          <w:szCs w:val="24"/>
          <w:lang w:eastAsia="fr-FR"/>
        </w:rPr>
        <w:t xml:space="preserve">, 23%, Tour Eiffel, 16,3%, </w:t>
      </w:r>
      <w:proofErr w:type="spellStart"/>
      <w:r w:rsidRPr="00295780">
        <w:rPr>
          <w:rFonts w:ascii="Times New Roman" w:eastAsia="Times New Roman" w:hAnsi="Times New Roman" w:cs="Times New Roman"/>
          <w:sz w:val="24"/>
          <w:szCs w:val="24"/>
          <w:lang w:eastAsia="fr-FR"/>
        </w:rPr>
        <w:t>Mercialys</w:t>
      </w:r>
      <w:proofErr w:type="spellEnd"/>
      <w:r w:rsidRPr="00295780">
        <w:rPr>
          <w:rFonts w:ascii="Times New Roman" w:eastAsia="Times New Roman" w:hAnsi="Times New Roman" w:cs="Times New Roman"/>
          <w:sz w:val="24"/>
          <w:szCs w:val="24"/>
          <w:lang w:eastAsia="fr-FR"/>
        </w:rPr>
        <w:t xml:space="preserve"> 10,1% et SFL 4,8%. Seule Foncière </w:t>
      </w:r>
      <w:proofErr w:type="spellStart"/>
      <w:r w:rsidRPr="00295780">
        <w:rPr>
          <w:rFonts w:ascii="Times New Roman" w:eastAsia="Times New Roman" w:hAnsi="Times New Roman" w:cs="Times New Roman"/>
          <w:sz w:val="24"/>
          <w:szCs w:val="24"/>
          <w:lang w:eastAsia="fr-FR"/>
        </w:rPr>
        <w:t>Inéa</w:t>
      </w:r>
      <w:proofErr w:type="spellEnd"/>
      <w:r w:rsidRPr="00295780">
        <w:rPr>
          <w:rFonts w:ascii="Times New Roman" w:eastAsia="Times New Roman" w:hAnsi="Times New Roman" w:cs="Times New Roman"/>
          <w:sz w:val="24"/>
          <w:szCs w:val="24"/>
          <w:lang w:eastAsia="fr-FR"/>
        </w:rPr>
        <w:t xml:space="preserve"> recule de 1,2% sur cette période.</w:t>
      </w:r>
      <w:r w:rsidRPr="00295780">
        <w:rPr>
          <w:rFonts w:ascii="Times New Roman" w:eastAsia="Times New Roman" w:hAnsi="Times New Roman" w:cs="Times New Roman"/>
          <w:b/>
          <w:bCs/>
          <w:sz w:val="24"/>
          <w:szCs w:val="24"/>
          <w:lang w:eastAsia="fr-FR"/>
        </w:rPr>
        <w:br/>
      </w:r>
      <w:r w:rsidRPr="00295780">
        <w:rPr>
          <w:rFonts w:ascii="Times New Roman" w:eastAsia="Times New Roman" w:hAnsi="Times New Roman" w:cs="Times New Roman"/>
          <w:sz w:val="24"/>
          <w:szCs w:val="24"/>
          <w:lang w:eastAsia="fr-FR"/>
        </w:rPr>
        <w:t xml:space="preserve">Ces performances pourraient s'accentuer si les marchés poursuivaient sur leur lancée. Les foncières sont en effet les premières à profiter de cette situation en lançant des opérations de refinancement à bon compte. De même pourraient-elles profiter d'un nouvel aspect spéculatif, plusieurs d'entre elles étant susceptibles de reconfigurer leur actionnariat. La course à la taille est plus que jamais d'actualité et dans un contexte de financements plus aisés on peut donc s'attendre à une série d'opérations de concentration. </w:t>
      </w:r>
      <w:r w:rsidRPr="00295780">
        <w:rPr>
          <w:rFonts w:ascii="Times New Roman" w:eastAsia="Times New Roman" w:hAnsi="Times New Roman" w:cs="Times New Roman"/>
          <w:sz w:val="24"/>
          <w:szCs w:val="24"/>
          <w:lang w:eastAsia="fr-FR"/>
        </w:rPr>
        <w:br/>
        <w:t>Il est clair toutefois, qu'aucune transaction d'envergure ne sera lancée avant la conclusion des prochaines échéances électorales françaises. Repoussant à la rentrée, toute annonce. D'ici là, les foncières pourront compter sur un retour de la confiance. Une belle augure pour ce secteur qui concilie les attentes de ceux qui veulent prendre peu de risque en misant sur l'immobilier tout en acceptant une part plus aléatoire en plaçant leur épargne en actions.</w:t>
      </w:r>
    </w:p>
    <w:p w:rsidR="00295780" w:rsidRDefault="00295780"/>
    <w:sectPr w:rsidR="00295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780"/>
    <w:rsid w:val="000A3ED0"/>
    <w:rsid w:val="00295780"/>
    <w:rsid w:val="00C867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957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578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2957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95780"/>
    <w:rPr>
      <w:b/>
      <w:bCs/>
    </w:rPr>
  </w:style>
  <w:style w:type="character" w:styleId="CitationHTML">
    <w:name w:val="HTML Cite"/>
    <w:basedOn w:val="Policepardfaut"/>
    <w:uiPriority w:val="99"/>
    <w:semiHidden/>
    <w:unhideWhenUsed/>
    <w:rsid w:val="00295780"/>
    <w:rPr>
      <w:i/>
      <w:iCs/>
    </w:rPr>
  </w:style>
  <w:style w:type="character" w:styleId="Lienhypertexte">
    <w:name w:val="Hyperlink"/>
    <w:basedOn w:val="Policepardfaut"/>
    <w:uiPriority w:val="99"/>
    <w:semiHidden/>
    <w:unhideWhenUsed/>
    <w:rsid w:val="00295780"/>
    <w:rPr>
      <w:color w:val="0000FF"/>
      <w:u w:val="single"/>
    </w:rPr>
  </w:style>
  <w:style w:type="paragraph" w:styleId="Textedebulles">
    <w:name w:val="Balloon Text"/>
    <w:basedOn w:val="Normal"/>
    <w:link w:val="TextedebullesCar"/>
    <w:uiPriority w:val="99"/>
    <w:semiHidden/>
    <w:unhideWhenUsed/>
    <w:rsid w:val="002957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5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957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578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2957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95780"/>
    <w:rPr>
      <w:b/>
      <w:bCs/>
    </w:rPr>
  </w:style>
  <w:style w:type="character" w:styleId="CitationHTML">
    <w:name w:val="HTML Cite"/>
    <w:basedOn w:val="Policepardfaut"/>
    <w:uiPriority w:val="99"/>
    <w:semiHidden/>
    <w:unhideWhenUsed/>
    <w:rsid w:val="00295780"/>
    <w:rPr>
      <w:i/>
      <w:iCs/>
    </w:rPr>
  </w:style>
  <w:style w:type="character" w:styleId="Lienhypertexte">
    <w:name w:val="Hyperlink"/>
    <w:basedOn w:val="Policepardfaut"/>
    <w:uiPriority w:val="99"/>
    <w:semiHidden/>
    <w:unhideWhenUsed/>
    <w:rsid w:val="00295780"/>
    <w:rPr>
      <w:color w:val="0000FF"/>
      <w:u w:val="single"/>
    </w:rPr>
  </w:style>
  <w:style w:type="paragraph" w:styleId="Textedebulles">
    <w:name w:val="Balloon Text"/>
    <w:basedOn w:val="Normal"/>
    <w:link w:val="TextedebullesCar"/>
    <w:uiPriority w:val="99"/>
    <w:semiHidden/>
    <w:unhideWhenUsed/>
    <w:rsid w:val="002957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5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539389">
      <w:bodyDiv w:val="1"/>
      <w:marLeft w:val="0"/>
      <w:marRight w:val="0"/>
      <w:marTop w:val="0"/>
      <w:marBottom w:val="0"/>
      <w:divBdr>
        <w:top w:val="none" w:sz="0" w:space="0" w:color="auto"/>
        <w:left w:val="none" w:sz="0" w:space="0" w:color="auto"/>
        <w:bottom w:val="none" w:sz="0" w:space="0" w:color="auto"/>
        <w:right w:val="none" w:sz="0" w:space="0" w:color="auto"/>
      </w:divBdr>
      <w:divsChild>
        <w:div w:id="760949179">
          <w:marLeft w:val="0"/>
          <w:marRight w:val="0"/>
          <w:marTop w:val="0"/>
          <w:marBottom w:val="0"/>
          <w:divBdr>
            <w:top w:val="none" w:sz="0" w:space="0" w:color="auto"/>
            <w:left w:val="none" w:sz="0" w:space="0" w:color="auto"/>
            <w:bottom w:val="none" w:sz="0" w:space="0" w:color="auto"/>
            <w:right w:val="none" w:sz="0" w:space="0" w:color="auto"/>
          </w:divBdr>
        </w:div>
        <w:div w:id="882715430">
          <w:marLeft w:val="0"/>
          <w:marRight w:val="0"/>
          <w:marTop w:val="0"/>
          <w:marBottom w:val="0"/>
          <w:divBdr>
            <w:top w:val="none" w:sz="0" w:space="0" w:color="auto"/>
            <w:left w:val="none" w:sz="0" w:space="0" w:color="auto"/>
            <w:bottom w:val="none" w:sz="0" w:space="0" w:color="auto"/>
            <w:right w:val="none" w:sz="0" w:space="0" w:color="auto"/>
          </w:divBdr>
          <w:divsChild>
            <w:div w:id="384066952">
              <w:marLeft w:val="0"/>
              <w:marRight w:val="0"/>
              <w:marTop w:val="0"/>
              <w:marBottom w:val="0"/>
              <w:divBdr>
                <w:top w:val="none" w:sz="0" w:space="0" w:color="auto"/>
                <w:left w:val="none" w:sz="0" w:space="0" w:color="auto"/>
                <w:bottom w:val="none" w:sz="0" w:space="0" w:color="auto"/>
                <w:right w:val="none" w:sz="0" w:space="0" w:color="auto"/>
              </w:divBdr>
              <w:divsChild>
                <w:div w:id="792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urse.latribune.fr/stocks/valeur.html?ISIN=FR0000057937&amp;MARKET=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ourse.latribune.fr/stocks/valeur.html?ISIN=FR0000124711&amp;MARKET=25" TargetMode="External"/><Relationship Id="rId5" Type="http://schemas.openxmlformats.org/officeDocument/2006/relationships/hyperlink" Target="http://bourse.latribune.fr/stocks/valeur.html?ISIN=FR0010241638&amp;MARKET=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1038</Words>
  <Characters>5712</Characters>
  <Application>Microsoft Office Word</Application>
  <DocSecurity>0</DocSecurity>
  <Lines>47</Lines>
  <Paragraphs>13</Paragraphs>
  <ScaleCrop>false</ScaleCrop>
  <Company>Perso</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Olivier</cp:lastModifiedBy>
  <cp:revision>2</cp:revision>
  <dcterms:created xsi:type="dcterms:W3CDTF">2012-03-20T12:41:00Z</dcterms:created>
  <dcterms:modified xsi:type="dcterms:W3CDTF">2012-03-20T12:45:00Z</dcterms:modified>
</cp:coreProperties>
</file>