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EFB" w:rsidRPr="00E42B8D" w:rsidRDefault="00A6688E" w:rsidP="00850EFB">
      <w:pPr>
        <w:jc w:val="center"/>
        <w:rPr>
          <w:b/>
        </w:rPr>
      </w:pPr>
      <w:r w:rsidRPr="00E42B8D">
        <w:rPr>
          <w:b/>
        </w:rPr>
        <w:t>BUSINESS PLAN GARINOT</w:t>
      </w:r>
    </w:p>
    <w:p w:rsidR="00850EFB" w:rsidRPr="00E42B8D" w:rsidRDefault="00850EFB" w:rsidP="00850EFB">
      <w:pPr>
        <w:spacing w:after="0"/>
        <w:jc w:val="center"/>
        <w:rPr>
          <w:b/>
        </w:rPr>
      </w:pPr>
    </w:p>
    <w:p w:rsidR="00850EFB" w:rsidRPr="00E42B8D" w:rsidRDefault="00850EFB" w:rsidP="00850EFB">
      <w:pPr>
        <w:spacing w:after="0"/>
        <w:jc w:val="center"/>
        <w:rPr>
          <w:b/>
        </w:rPr>
      </w:pPr>
      <w:r w:rsidRPr="00E42B8D">
        <w:rPr>
          <w:b/>
        </w:rPr>
        <w:t>SOMM</w:t>
      </w:r>
      <w:r w:rsidR="00E16C83" w:rsidRPr="00E42B8D">
        <w:rPr>
          <w:b/>
        </w:rPr>
        <w:t>AIRE</w:t>
      </w:r>
    </w:p>
    <w:p w:rsidR="009631D7" w:rsidRPr="00E42B8D" w:rsidRDefault="009631D7" w:rsidP="00850EFB">
      <w:pPr>
        <w:spacing w:after="0"/>
        <w:jc w:val="center"/>
        <w:rPr>
          <w:b/>
        </w:rPr>
      </w:pPr>
    </w:p>
    <w:p w:rsidR="009631D7" w:rsidRPr="00E42B8D" w:rsidRDefault="009631D7" w:rsidP="00850EFB">
      <w:pPr>
        <w:spacing w:after="0"/>
        <w:jc w:val="center"/>
        <w:rPr>
          <w:b/>
        </w:rPr>
      </w:pPr>
    </w:p>
    <w:p w:rsidR="009631D7" w:rsidRPr="00E42B8D" w:rsidRDefault="009631D7" w:rsidP="00850EFB">
      <w:pPr>
        <w:spacing w:after="0"/>
        <w:jc w:val="center"/>
        <w:rPr>
          <w:b/>
        </w:rPr>
      </w:pPr>
    </w:p>
    <w:p w:rsidR="009631D7" w:rsidRPr="00E42B8D" w:rsidRDefault="009631D7" w:rsidP="00850EFB">
      <w:pPr>
        <w:spacing w:after="0"/>
        <w:jc w:val="center"/>
      </w:pPr>
    </w:p>
    <w:p w:rsidR="00850EFB" w:rsidRPr="00E42B8D" w:rsidRDefault="00850EFB" w:rsidP="00850EFB">
      <w:pPr>
        <w:pBdr>
          <w:bottom w:val="single" w:sz="12" w:space="1" w:color="auto"/>
        </w:pBdr>
        <w:spacing w:after="0"/>
        <w:jc w:val="center"/>
      </w:pPr>
    </w:p>
    <w:p w:rsidR="00850EFB" w:rsidRPr="00E42B8D" w:rsidRDefault="00850EFB" w:rsidP="00850EFB">
      <w:pPr>
        <w:spacing w:after="0"/>
        <w:jc w:val="center"/>
      </w:pPr>
    </w:p>
    <w:p w:rsidR="00BE4D48" w:rsidRPr="00E42B8D" w:rsidRDefault="00BE4D48" w:rsidP="00850EFB">
      <w:pPr>
        <w:spacing w:after="0"/>
        <w:jc w:val="center"/>
      </w:pPr>
    </w:p>
    <w:p w:rsidR="00850EFB" w:rsidRPr="00E42B8D" w:rsidRDefault="00850EFB" w:rsidP="00850EFB">
      <w:pPr>
        <w:tabs>
          <w:tab w:val="right" w:pos="7655"/>
        </w:tabs>
        <w:spacing w:after="0"/>
        <w:rPr>
          <w:b/>
        </w:rPr>
      </w:pPr>
      <w:r w:rsidRPr="00E42B8D">
        <w:rPr>
          <w:b/>
        </w:rPr>
        <w:t>Préambule</w:t>
      </w:r>
      <w:r w:rsidRPr="00E42B8D">
        <w:rPr>
          <w:b/>
        </w:rPr>
        <w:tab/>
        <w:t>p.2</w:t>
      </w:r>
    </w:p>
    <w:p w:rsidR="00850EFB" w:rsidRPr="00E42B8D" w:rsidRDefault="00850EFB" w:rsidP="00850EFB">
      <w:pPr>
        <w:tabs>
          <w:tab w:val="right" w:pos="7655"/>
        </w:tabs>
        <w:spacing w:after="0"/>
      </w:pPr>
    </w:p>
    <w:p w:rsidR="00850EFB" w:rsidRPr="006E26A7" w:rsidRDefault="00BE4D48" w:rsidP="00850EFB">
      <w:pPr>
        <w:tabs>
          <w:tab w:val="right" w:pos="7655"/>
        </w:tabs>
        <w:spacing w:after="0"/>
        <w:rPr>
          <w:b/>
        </w:rPr>
      </w:pPr>
      <w:r>
        <w:rPr>
          <w:b/>
        </w:rPr>
        <w:t>1/ Données de base</w:t>
      </w:r>
      <w:r w:rsidR="00850EFB" w:rsidRPr="006E26A7">
        <w:rPr>
          <w:b/>
        </w:rPr>
        <w:t> :</w:t>
      </w:r>
      <w:r>
        <w:rPr>
          <w:b/>
        </w:rPr>
        <w:tab/>
        <w:t>p.2</w:t>
      </w:r>
    </w:p>
    <w:p w:rsidR="00850EFB" w:rsidRDefault="00BE4D48" w:rsidP="00850EFB">
      <w:pPr>
        <w:tabs>
          <w:tab w:val="right" w:pos="7655"/>
        </w:tabs>
        <w:spacing w:after="0"/>
      </w:pPr>
      <w:r>
        <w:tab/>
      </w:r>
    </w:p>
    <w:p w:rsidR="00BE4D48" w:rsidRDefault="00BE4D48" w:rsidP="00850EFB">
      <w:pPr>
        <w:tabs>
          <w:tab w:val="right" w:pos="7655"/>
        </w:tabs>
        <w:spacing w:after="0"/>
        <w:ind w:left="708"/>
      </w:pPr>
      <w:proofErr w:type="gramStart"/>
      <w:r>
        <w:t>a</w:t>
      </w:r>
      <w:proofErr w:type="gramEnd"/>
      <w:r w:rsidR="00850EFB">
        <w:t xml:space="preserve"> </w:t>
      </w:r>
      <w:r>
        <w:t>Paramètres de l’opération</w:t>
      </w:r>
      <w:r>
        <w:tab/>
        <w:t>p.2</w:t>
      </w:r>
    </w:p>
    <w:p w:rsidR="00850EFB" w:rsidRDefault="00BE4D48" w:rsidP="00850EFB">
      <w:pPr>
        <w:tabs>
          <w:tab w:val="right" w:pos="7655"/>
        </w:tabs>
        <w:spacing w:after="0"/>
        <w:ind w:left="708"/>
      </w:pPr>
      <w:proofErr w:type="gramStart"/>
      <w:r>
        <w:t>b</w:t>
      </w:r>
      <w:proofErr w:type="gramEnd"/>
      <w:r>
        <w:t xml:space="preserve"> structure de l’acquéreur</w:t>
      </w:r>
      <w:r w:rsidR="00850EFB">
        <w:tab/>
        <w:t>p.2</w:t>
      </w:r>
    </w:p>
    <w:p w:rsidR="00850EFB" w:rsidRDefault="00BE4D48" w:rsidP="00850EFB">
      <w:pPr>
        <w:tabs>
          <w:tab w:val="right" w:pos="7655"/>
        </w:tabs>
        <w:spacing w:after="0"/>
        <w:ind w:left="708"/>
      </w:pPr>
      <w:proofErr w:type="gramStart"/>
      <w:r>
        <w:t>c</w:t>
      </w:r>
      <w:proofErr w:type="gramEnd"/>
      <w:r w:rsidR="00850EFB">
        <w:t xml:space="preserve"> </w:t>
      </w:r>
      <w:r>
        <w:t>structure du groupe cible</w:t>
      </w:r>
      <w:r w:rsidR="00333DA4">
        <w:tab/>
        <w:t>p.2</w:t>
      </w:r>
    </w:p>
    <w:p w:rsidR="00850EFB" w:rsidRDefault="00BE4D48" w:rsidP="00850EFB">
      <w:pPr>
        <w:tabs>
          <w:tab w:val="right" w:pos="7655"/>
        </w:tabs>
        <w:spacing w:after="0"/>
        <w:ind w:left="708"/>
      </w:pPr>
      <w:proofErr w:type="gramStart"/>
      <w:r>
        <w:t>d</w:t>
      </w:r>
      <w:proofErr w:type="gramEnd"/>
      <w:r>
        <w:t xml:space="preserve"> comptes du groupe cible</w:t>
      </w:r>
      <w:r>
        <w:tab/>
        <w:t>p.</w:t>
      </w:r>
      <w:r w:rsidR="00333DA4">
        <w:t>3</w:t>
      </w:r>
    </w:p>
    <w:p w:rsidR="00BE4D48" w:rsidRDefault="009631D7" w:rsidP="00BE4D48">
      <w:pPr>
        <w:tabs>
          <w:tab w:val="right" w:pos="7655"/>
        </w:tabs>
        <w:spacing w:after="0"/>
        <w:ind w:left="1416"/>
      </w:pPr>
      <w:proofErr w:type="gramStart"/>
      <w:r>
        <w:t>d1</w:t>
      </w:r>
      <w:proofErr w:type="gramEnd"/>
      <w:r>
        <w:t xml:space="preserve"> </w:t>
      </w:r>
      <w:r w:rsidR="00BE4D48">
        <w:t>compte d’exploitation</w:t>
      </w:r>
      <w:r w:rsidR="00BE4D48">
        <w:tab/>
        <w:t>p.</w:t>
      </w:r>
      <w:r w:rsidR="00333DA4">
        <w:t>3</w:t>
      </w:r>
    </w:p>
    <w:p w:rsidR="00BE4D48" w:rsidRDefault="009631D7" w:rsidP="00BE4D48">
      <w:pPr>
        <w:tabs>
          <w:tab w:val="right" w:pos="7655"/>
        </w:tabs>
        <w:spacing w:after="0"/>
        <w:ind w:left="1416"/>
      </w:pPr>
      <w:proofErr w:type="gramStart"/>
      <w:r>
        <w:t>d2</w:t>
      </w:r>
      <w:proofErr w:type="gramEnd"/>
      <w:r>
        <w:t xml:space="preserve"> </w:t>
      </w:r>
      <w:r w:rsidR="00BE4D48">
        <w:t>bilan</w:t>
      </w:r>
      <w:r w:rsidR="00BE4D48">
        <w:tab/>
        <w:t>p.</w:t>
      </w:r>
      <w:r w:rsidR="00333DA4">
        <w:t>3</w:t>
      </w:r>
    </w:p>
    <w:p w:rsidR="00BE4D48" w:rsidRDefault="00BE4D48" w:rsidP="00BE4D48">
      <w:pPr>
        <w:tabs>
          <w:tab w:val="right" w:pos="7655"/>
        </w:tabs>
        <w:spacing w:after="0"/>
        <w:ind w:left="708"/>
      </w:pPr>
      <w:proofErr w:type="gramStart"/>
      <w:r>
        <w:t>e</w:t>
      </w:r>
      <w:proofErr w:type="gramEnd"/>
      <w:r>
        <w:t xml:space="preserve"> </w:t>
      </w:r>
      <w:r w:rsidR="00333DA4">
        <w:t>les « sources de revenu » actuelles</w:t>
      </w:r>
      <w:r>
        <w:tab/>
        <w:t>p.</w:t>
      </w:r>
      <w:r w:rsidR="00333DA4">
        <w:t>4</w:t>
      </w:r>
    </w:p>
    <w:p w:rsidR="00850EFB" w:rsidRDefault="00850EFB" w:rsidP="00850EFB">
      <w:pPr>
        <w:tabs>
          <w:tab w:val="right" w:pos="7655"/>
        </w:tabs>
        <w:spacing w:after="0"/>
        <w:ind w:left="708"/>
      </w:pPr>
    </w:p>
    <w:p w:rsidR="00850EFB" w:rsidRPr="006E26A7" w:rsidRDefault="00BE4D48" w:rsidP="00850EFB">
      <w:pPr>
        <w:tabs>
          <w:tab w:val="right" w:pos="7655"/>
        </w:tabs>
        <w:spacing w:after="0"/>
        <w:rPr>
          <w:b/>
        </w:rPr>
      </w:pPr>
      <w:r>
        <w:rPr>
          <w:b/>
        </w:rPr>
        <w:t>2/ Hypothèses fondamentales</w:t>
      </w:r>
      <w:r w:rsidR="00850EFB" w:rsidRPr="006E26A7">
        <w:rPr>
          <w:b/>
        </w:rPr>
        <w:t> :</w:t>
      </w:r>
      <w:r>
        <w:rPr>
          <w:b/>
        </w:rPr>
        <w:tab/>
      </w:r>
      <w:r w:rsidR="00333DA4">
        <w:rPr>
          <w:b/>
        </w:rPr>
        <w:t>p.4</w:t>
      </w:r>
    </w:p>
    <w:p w:rsidR="00850EFB" w:rsidRDefault="00850EFB" w:rsidP="00850EFB">
      <w:pPr>
        <w:tabs>
          <w:tab w:val="right" w:pos="7655"/>
        </w:tabs>
        <w:spacing w:after="0"/>
      </w:pPr>
    </w:p>
    <w:p w:rsidR="00850EFB" w:rsidRDefault="00BE4D48" w:rsidP="00850EFB">
      <w:pPr>
        <w:tabs>
          <w:tab w:val="right" w:pos="7655"/>
        </w:tabs>
        <w:spacing w:after="0"/>
        <w:ind w:left="708"/>
      </w:pPr>
      <w:proofErr w:type="gramStart"/>
      <w:r>
        <w:t>a</w:t>
      </w:r>
      <w:proofErr w:type="gramEnd"/>
      <w:r w:rsidR="00850EFB">
        <w:t xml:space="preserve"> </w:t>
      </w:r>
      <w:r>
        <w:t>date de reprise et de démarrage du BP</w:t>
      </w:r>
      <w:r w:rsidR="00333DA4">
        <w:tab/>
        <w:t>p.4</w:t>
      </w:r>
    </w:p>
    <w:p w:rsidR="00850EFB" w:rsidRDefault="00BE4D48" w:rsidP="00850EFB">
      <w:pPr>
        <w:tabs>
          <w:tab w:val="right" w:pos="7655"/>
        </w:tabs>
        <w:spacing w:after="0"/>
        <w:ind w:left="708"/>
      </w:pPr>
      <w:proofErr w:type="gramStart"/>
      <w:r>
        <w:t>b</w:t>
      </w:r>
      <w:proofErr w:type="gramEnd"/>
      <w:r>
        <w:t xml:space="preserve"> consolidation des comptes du groupe cible</w:t>
      </w:r>
      <w:r w:rsidR="00333DA4">
        <w:tab/>
        <w:t>p.4</w:t>
      </w:r>
    </w:p>
    <w:p w:rsidR="00850EFB" w:rsidRDefault="00BE4D48" w:rsidP="00BE4D48">
      <w:pPr>
        <w:tabs>
          <w:tab w:val="right" w:pos="7655"/>
        </w:tabs>
        <w:spacing w:after="0"/>
        <w:ind w:left="708"/>
      </w:pPr>
      <w:proofErr w:type="gramStart"/>
      <w:r>
        <w:t>c</w:t>
      </w:r>
      <w:proofErr w:type="gramEnd"/>
      <w:r>
        <w:t xml:space="preserve"> hypothèses sur le cœur d’activité</w:t>
      </w:r>
      <w:r>
        <w:tab/>
      </w:r>
      <w:r w:rsidR="00333DA4">
        <w:t>p.4</w:t>
      </w:r>
    </w:p>
    <w:p w:rsidR="00BE4D48" w:rsidRDefault="00BE4D48" w:rsidP="00BE4D48">
      <w:pPr>
        <w:tabs>
          <w:tab w:val="right" w:pos="7655"/>
        </w:tabs>
        <w:spacing w:after="0"/>
        <w:ind w:left="708"/>
      </w:pPr>
      <w:proofErr w:type="gramStart"/>
      <w:r>
        <w:t>d</w:t>
      </w:r>
      <w:proofErr w:type="gramEnd"/>
      <w:r>
        <w:t xml:space="preserve"> hypothèses d’apport d’affaires</w:t>
      </w:r>
      <w:r>
        <w:tab/>
      </w:r>
      <w:r w:rsidR="00E42B8D">
        <w:t>p.5</w:t>
      </w:r>
    </w:p>
    <w:p w:rsidR="00BE4D48" w:rsidRDefault="00BE4D48" w:rsidP="00BE4D48">
      <w:pPr>
        <w:tabs>
          <w:tab w:val="right" w:pos="7655"/>
        </w:tabs>
        <w:spacing w:after="0"/>
        <w:ind w:left="708"/>
      </w:pPr>
    </w:p>
    <w:p w:rsidR="00850EFB" w:rsidRPr="006E26A7" w:rsidRDefault="00BE4D48" w:rsidP="00850EFB">
      <w:pPr>
        <w:tabs>
          <w:tab w:val="right" w:pos="7655"/>
        </w:tabs>
        <w:spacing w:after="0"/>
        <w:rPr>
          <w:b/>
        </w:rPr>
      </w:pPr>
      <w:r>
        <w:rPr>
          <w:b/>
        </w:rPr>
        <w:t>3/ Business Plan « </w:t>
      </w:r>
      <w:r w:rsidR="009631D7">
        <w:rPr>
          <w:b/>
        </w:rPr>
        <w:t xml:space="preserve">haut et </w:t>
      </w:r>
      <w:r>
        <w:rPr>
          <w:b/>
        </w:rPr>
        <w:t>bas de fourchette »</w:t>
      </w:r>
      <w:r w:rsidR="00850EFB" w:rsidRPr="006E26A7">
        <w:rPr>
          <w:b/>
        </w:rPr>
        <w:t> :</w:t>
      </w:r>
      <w:r w:rsidR="00E42B8D">
        <w:rPr>
          <w:b/>
        </w:rPr>
        <w:tab/>
        <w:t>p.6</w:t>
      </w:r>
    </w:p>
    <w:p w:rsidR="009631D7" w:rsidRDefault="009631D7" w:rsidP="00BE4D48">
      <w:pPr>
        <w:tabs>
          <w:tab w:val="right" w:pos="7655"/>
        </w:tabs>
        <w:spacing w:after="0"/>
        <w:ind w:left="708"/>
      </w:pPr>
    </w:p>
    <w:p w:rsidR="00850EFB" w:rsidRDefault="009631D7" w:rsidP="00BE4D48">
      <w:pPr>
        <w:tabs>
          <w:tab w:val="right" w:pos="7655"/>
        </w:tabs>
        <w:spacing w:after="0"/>
        <w:ind w:left="708"/>
      </w:pPr>
      <w:proofErr w:type="gramStart"/>
      <w:r>
        <w:t>a</w:t>
      </w:r>
      <w:proofErr w:type="gramEnd"/>
      <w:r>
        <w:t xml:space="preserve"> Comptes d’exploitation haut et bas comparés</w:t>
      </w:r>
      <w:r w:rsidR="00BE4D48">
        <w:tab/>
        <w:t>p.</w:t>
      </w:r>
      <w:r w:rsidR="00E42B8D">
        <w:t>6</w:t>
      </w:r>
    </w:p>
    <w:p w:rsidR="00BE4D48" w:rsidRDefault="009631D7" w:rsidP="00BE4D48">
      <w:pPr>
        <w:tabs>
          <w:tab w:val="right" w:pos="7655"/>
        </w:tabs>
        <w:spacing w:after="0"/>
        <w:ind w:left="708"/>
      </w:pPr>
      <w:proofErr w:type="gramStart"/>
      <w:r>
        <w:t>b</w:t>
      </w:r>
      <w:proofErr w:type="gramEnd"/>
      <w:r>
        <w:t xml:space="preserve"> </w:t>
      </w:r>
      <w:r w:rsidR="00BE4D48">
        <w:t>Bilan</w:t>
      </w:r>
      <w:r>
        <w:t>s bas de fourchette</w:t>
      </w:r>
      <w:r w:rsidR="00BE4D48">
        <w:tab/>
        <w:t>p.</w:t>
      </w:r>
      <w:r w:rsidR="00E42B8D">
        <w:t>7</w:t>
      </w:r>
    </w:p>
    <w:p w:rsidR="009631D7" w:rsidRDefault="009631D7" w:rsidP="00BE4D48">
      <w:pPr>
        <w:tabs>
          <w:tab w:val="right" w:pos="7655"/>
        </w:tabs>
        <w:spacing w:after="0"/>
        <w:ind w:left="708"/>
      </w:pPr>
      <w:proofErr w:type="gramStart"/>
      <w:r>
        <w:t>c</w:t>
      </w:r>
      <w:proofErr w:type="gramEnd"/>
      <w:r>
        <w:t xml:space="preserve"> Bilans haut de fourchette</w:t>
      </w:r>
      <w:r w:rsidR="00E42B8D">
        <w:tab/>
        <w:t>p.7</w:t>
      </w:r>
    </w:p>
    <w:p w:rsidR="00BE4D48" w:rsidRDefault="00BE4D48" w:rsidP="00BE4D48">
      <w:pPr>
        <w:tabs>
          <w:tab w:val="right" w:pos="7655"/>
        </w:tabs>
        <w:spacing w:after="0"/>
        <w:ind w:left="708"/>
      </w:pPr>
    </w:p>
    <w:p w:rsidR="00BE4D48" w:rsidRPr="009631D7" w:rsidRDefault="009631D7" w:rsidP="00850EFB">
      <w:pPr>
        <w:tabs>
          <w:tab w:val="right" w:pos="7655"/>
        </w:tabs>
        <w:spacing w:after="0"/>
        <w:rPr>
          <w:b/>
        </w:rPr>
      </w:pPr>
      <w:r w:rsidRPr="009631D7">
        <w:rPr>
          <w:b/>
        </w:rPr>
        <w:t>4</w:t>
      </w:r>
      <w:r w:rsidR="00BE4D48" w:rsidRPr="009631D7">
        <w:rPr>
          <w:b/>
        </w:rPr>
        <w:t>/ Rentabilité pour les actionnaires</w:t>
      </w:r>
      <w:r w:rsidR="00BE4D48" w:rsidRPr="009631D7">
        <w:rPr>
          <w:b/>
        </w:rPr>
        <w:tab/>
        <w:t>p.</w:t>
      </w:r>
      <w:r w:rsidR="00E42B8D">
        <w:rPr>
          <w:b/>
        </w:rPr>
        <w:t>8</w:t>
      </w:r>
    </w:p>
    <w:p w:rsidR="00BE4D48" w:rsidRDefault="00BE4D48" w:rsidP="00850EFB">
      <w:pPr>
        <w:tabs>
          <w:tab w:val="right" w:pos="7655"/>
        </w:tabs>
        <w:spacing w:after="0"/>
      </w:pPr>
    </w:p>
    <w:p w:rsidR="00BE4D48" w:rsidRDefault="00E42F1C" w:rsidP="00850EFB">
      <w:pPr>
        <w:tabs>
          <w:tab w:val="right" w:pos="7655"/>
        </w:tabs>
        <w:spacing w:after="0"/>
      </w:pPr>
      <w:r w:rsidRPr="00E42F1C">
        <w:rPr>
          <w:b/>
        </w:rPr>
        <w:t>ANNEXE :</w:t>
      </w:r>
      <w:r>
        <w:t xml:space="preserve"> synoptique des 2 business plans (haut et bas), comparaison.</w:t>
      </w:r>
      <w:r>
        <w:tab/>
      </w:r>
      <w:r w:rsidR="00E42B8D">
        <w:t>P.9</w:t>
      </w:r>
      <w:bookmarkStart w:id="0" w:name="_GoBack"/>
      <w:bookmarkEnd w:id="0"/>
    </w:p>
    <w:p w:rsidR="00E42F1C" w:rsidRDefault="00E42F1C" w:rsidP="00850EFB">
      <w:pPr>
        <w:tabs>
          <w:tab w:val="right" w:pos="7655"/>
        </w:tabs>
        <w:spacing w:after="0"/>
      </w:pPr>
    </w:p>
    <w:p w:rsidR="00850EFB" w:rsidRDefault="00850EFB" w:rsidP="00850EFB">
      <w:pPr>
        <w:pBdr>
          <w:bottom w:val="single" w:sz="12" w:space="1" w:color="auto"/>
        </w:pBdr>
        <w:tabs>
          <w:tab w:val="right" w:pos="7655"/>
        </w:tabs>
        <w:spacing w:after="0"/>
      </w:pPr>
    </w:p>
    <w:p w:rsidR="00850EFB" w:rsidRDefault="00850EFB" w:rsidP="00850EFB">
      <w:r>
        <w:br w:type="page"/>
      </w:r>
    </w:p>
    <w:p w:rsidR="00A735B2" w:rsidRPr="009A0937" w:rsidRDefault="009A0937" w:rsidP="009A0937">
      <w:pPr>
        <w:jc w:val="center"/>
        <w:rPr>
          <w:b/>
        </w:rPr>
      </w:pPr>
      <w:r w:rsidRPr="009A0937">
        <w:rPr>
          <w:b/>
        </w:rPr>
        <w:lastRenderedPageBreak/>
        <w:t>BUSINESS PLAN GARINOT</w:t>
      </w:r>
    </w:p>
    <w:p w:rsidR="009A0937" w:rsidRDefault="009A0937" w:rsidP="009A0937">
      <w:pPr>
        <w:pBdr>
          <w:bottom w:val="single" w:sz="12" w:space="1" w:color="auto"/>
        </w:pBdr>
        <w:jc w:val="center"/>
      </w:pPr>
    </w:p>
    <w:p w:rsidR="00472182" w:rsidRDefault="00472182" w:rsidP="009A0937">
      <w:pPr>
        <w:spacing w:after="0"/>
        <w:rPr>
          <w:b/>
        </w:rPr>
      </w:pPr>
    </w:p>
    <w:p w:rsidR="009A0937" w:rsidRPr="009A0937" w:rsidRDefault="009A0937" w:rsidP="009A0937">
      <w:pPr>
        <w:spacing w:after="0"/>
        <w:rPr>
          <w:b/>
        </w:rPr>
      </w:pPr>
      <w:r w:rsidRPr="009A0937">
        <w:rPr>
          <w:b/>
        </w:rPr>
        <w:t>Préambule :</w:t>
      </w:r>
    </w:p>
    <w:p w:rsidR="009A0937" w:rsidRDefault="00822FA9" w:rsidP="009A0937">
      <w:pPr>
        <w:spacing w:after="0"/>
      </w:pPr>
      <w:r>
        <w:t>Ce document présente le</w:t>
      </w:r>
      <w:r w:rsidR="009A0937">
        <w:t xml:space="preserve"> Business Plan de la Société </w:t>
      </w:r>
      <w:proofErr w:type="spellStart"/>
      <w:r w:rsidR="009A0937">
        <w:t>Garinot</w:t>
      </w:r>
      <w:proofErr w:type="spellEnd"/>
      <w:r w:rsidR="009A0937">
        <w:t xml:space="preserve"> suite à son acquisition auprès des actionnaires actuels.</w:t>
      </w:r>
    </w:p>
    <w:p w:rsidR="006D1C9F" w:rsidRDefault="006D1C9F" w:rsidP="009A0937">
      <w:pPr>
        <w:spacing w:after="0"/>
      </w:pPr>
    </w:p>
    <w:p w:rsidR="00822FA9" w:rsidRPr="006D1C9F" w:rsidRDefault="00707204" w:rsidP="009A0937">
      <w:pPr>
        <w:spacing w:after="0"/>
        <w:rPr>
          <w:b/>
        </w:rPr>
      </w:pPr>
      <w:r>
        <w:rPr>
          <w:b/>
        </w:rPr>
        <w:t xml:space="preserve">1/ Les données </w:t>
      </w:r>
      <w:r w:rsidR="006D1C9F">
        <w:rPr>
          <w:b/>
        </w:rPr>
        <w:t xml:space="preserve"> de base</w:t>
      </w:r>
      <w:r w:rsidR="00822FA9" w:rsidRPr="006D1C9F">
        <w:rPr>
          <w:b/>
        </w:rPr>
        <w:t> :</w:t>
      </w:r>
    </w:p>
    <w:p w:rsidR="006D1C9F" w:rsidRDefault="006D1C9F" w:rsidP="009A0937">
      <w:pPr>
        <w:spacing w:after="0"/>
      </w:pPr>
    </w:p>
    <w:p w:rsidR="00902E0B" w:rsidRPr="00902E0B" w:rsidRDefault="00472182" w:rsidP="009A0937">
      <w:pPr>
        <w:spacing w:after="0"/>
        <w:rPr>
          <w:b/>
        </w:rPr>
      </w:pPr>
      <w:proofErr w:type="gramStart"/>
      <w:r>
        <w:rPr>
          <w:b/>
        </w:rPr>
        <w:t>a</w:t>
      </w:r>
      <w:proofErr w:type="gramEnd"/>
      <w:r>
        <w:rPr>
          <w:b/>
        </w:rPr>
        <w:t xml:space="preserve">, </w:t>
      </w:r>
      <w:r w:rsidR="00902E0B" w:rsidRPr="00902E0B">
        <w:rPr>
          <w:b/>
        </w:rPr>
        <w:t>Les paramètres de l’opération envisagée :</w:t>
      </w:r>
    </w:p>
    <w:p w:rsidR="00902E0B" w:rsidRDefault="00356E8D" w:rsidP="009A0937">
      <w:pPr>
        <w:spacing w:after="0"/>
      </w:pPr>
      <w:r w:rsidRPr="00356E8D">
        <w:rPr>
          <w:noProof/>
          <w:lang w:eastAsia="fr-FR"/>
        </w:rPr>
        <w:drawing>
          <wp:anchor distT="0" distB="0" distL="114300" distR="114300" simplePos="0" relativeHeight="251660288" behindDoc="0" locked="0" layoutInCell="1" allowOverlap="1" wp14:anchorId="76A6296F" wp14:editId="5F906E33">
            <wp:simplePos x="0" y="0"/>
            <wp:positionH relativeFrom="column">
              <wp:posOffset>3538220</wp:posOffset>
            </wp:positionH>
            <wp:positionV relativeFrom="paragraph">
              <wp:posOffset>97155</wp:posOffset>
            </wp:positionV>
            <wp:extent cx="2001520" cy="101155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1520" cy="10115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C6FE9" w:rsidRDefault="00AC6FE9" w:rsidP="009A0937">
      <w:pPr>
        <w:spacing w:after="0"/>
      </w:pPr>
      <w:r>
        <w:t>Prix d’acquisition des titres : 5000K€</w:t>
      </w:r>
    </w:p>
    <w:p w:rsidR="00902E0B" w:rsidRDefault="00AC6FE9" w:rsidP="009A0937">
      <w:pPr>
        <w:spacing w:after="0"/>
      </w:pPr>
      <w:r>
        <w:t xml:space="preserve">Les titres sont acquis par une société holding créée pour l’occasion et financée </w:t>
      </w:r>
      <w:r w:rsidR="00310D83">
        <w:t>indiqué ci-contre</w:t>
      </w:r>
      <w:r>
        <w:t> :</w:t>
      </w:r>
    </w:p>
    <w:p w:rsidR="00AC6FE9" w:rsidRDefault="00AC6FE9" w:rsidP="009A0937">
      <w:pPr>
        <w:spacing w:after="0"/>
      </w:pPr>
    </w:p>
    <w:p w:rsidR="00902E0B" w:rsidRDefault="00902E0B" w:rsidP="00356E8D">
      <w:pPr>
        <w:spacing w:after="0"/>
        <w:jc w:val="center"/>
      </w:pPr>
    </w:p>
    <w:p w:rsidR="009A0937" w:rsidRPr="00707204" w:rsidRDefault="00472182" w:rsidP="009A0937">
      <w:pPr>
        <w:spacing w:after="0"/>
        <w:rPr>
          <w:b/>
        </w:rPr>
      </w:pPr>
      <w:proofErr w:type="gramStart"/>
      <w:r>
        <w:rPr>
          <w:b/>
        </w:rPr>
        <w:t>b</w:t>
      </w:r>
      <w:proofErr w:type="gramEnd"/>
      <w:r>
        <w:rPr>
          <w:b/>
        </w:rPr>
        <w:t xml:space="preserve">, </w:t>
      </w:r>
      <w:r w:rsidR="00822FA9" w:rsidRPr="00707204">
        <w:rPr>
          <w:b/>
        </w:rPr>
        <w:t>La structure de l’acquéreur</w:t>
      </w:r>
      <w:r w:rsidR="00707204" w:rsidRPr="00707204">
        <w:rPr>
          <w:b/>
        </w:rPr>
        <w:t> :</w:t>
      </w:r>
    </w:p>
    <w:p w:rsidR="005A4F53" w:rsidRDefault="005A4F53" w:rsidP="009A0937">
      <w:pPr>
        <w:spacing w:after="0"/>
      </w:pPr>
    </w:p>
    <w:p w:rsidR="00001DA7" w:rsidRDefault="005A4F53" w:rsidP="009A0937">
      <w:pPr>
        <w:spacing w:after="0"/>
      </w:pPr>
      <w:r w:rsidRPr="00902E0B">
        <w:rPr>
          <w:b/>
          <w:noProof/>
          <w:lang w:eastAsia="fr-FR"/>
        </w:rPr>
        <w:drawing>
          <wp:anchor distT="0" distB="0" distL="114300" distR="114300" simplePos="0" relativeHeight="251659264" behindDoc="0" locked="0" layoutInCell="1" allowOverlap="1" wp14:anchorId="54F5F791" wp14:editId="7B2757C1">
            <wp:simplePos x="0" y="0"/>
            <wp:positionH relativeFrom="column">
              <wp:posOffset>33020</wp:posOffset>
            </wp:positionH>
            <wp:positionV relativeFrom="paragraph">
              <wp:posOffset>78740</wp:posOffset>
            </wp:positionV>
            <wp:extent cx="3471545" cy="2339975"/>
            <wp:effectExtent l="0" t="0" r="0" b="317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1545" cy="2339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2E0B">
        <w:rPr>
          <w:b/>
        </w:rPr>
        <w:t>1 – Holding :</w:t>
      </w:r>
      <w:r>
        <w:t xml:space="preserve"> spécialement créée pour l’occasion de l’acquisition de </w:t>
      </w:r>
      <w:proofErr w:type="spellStart"/>
      <w:r>
        <w:t>Garinot</w:t>
      </w:r>
      <w:proofErr w:type="spellEnd"/>
      <w:r>
        <w:t>.</w:t>
      </w:r>
    </w:p>
    <w:p w:rsidR="005A4F53" w:rsidRDefault="005A4F53" w:rsidP="009A0937">
      <w:pPr>
        <w:spacing w:after="0"/>
      </w:pPr>
    </w:p>
    <w:p w:rsidR="005A4F53" w:rsidRDefault="005A4F53" w:rsidP="009A0937">
      <w:pPr>
        <w:spacing w:after="0"/>
      </w:pPr>
      <w:r w:rsidRPr="00902E0B">
        <w:rPr>
          <w:b/>
        </w:rPr>
        <w:t>2 – Société de Gestion :</w:t>
      </w:r>
      <w:r>
        <w:t xml:space="preserve"> contrôlée par les porteurs du projet, sous contrat de management avec les investisseurs. La société de gestion investit elle-même dans l’opération une somme à définir avec les investisseurs.</w:t>
      </w:r>
    </w:p>
    <w:p w:rsidR="005A4F53" w:rsidRDefault="005A4F53" w:rsidP="009A0937">
      <w:pPr>
        <w:spacing w:after="0"/>
      </w:pPr>
    </w:p>
    <w:p w:rsidR="005A4F53" w:rsidRDefault="005A4F53" w:rsidP="009A0937">
      <w:pPr>
        <w:spacing w:after="0"/>
      </w:pPr>
      <w:r w:rsidRPr="00902E0B">
        <w:rPr>
          <w:b/>
        </w:rPr>
        <w:t>3 – investisseurs :</w:t>
      </w:r>
      <w:r>
        <w:t xml:space="preserve"> ensemble des investisseurs (idéalement de 1 à 3) apportant </w:t>
      </w:r>
      <w:r w:rsidR="00902E0B">
        <w:t xml:space="preserve">les fonds propres permettant l’acquisition de 100% des titres du groupe </w:t>
      </w:r>
      <w:proofErr w:type="spellStart"/>
      <w:r w:rsidR="00902E0B">
        <w:t>Garinot</w:t>
      </w:r>
      <w:proofErr w:type="spellEnd"/>
      <w:r w:rsidR="00902E0B">
        <w:t>, aux côtés de la Société de gestion des porteurs du projet.</w:t>
      </w:r>
    </w:p>
    <w:p w:rsidR="00001DA7" w:rsidRDefault="00001DA7" w:rsidP="009A0937">
      <w:pPr>
        <w:spacing w:after="0"/>
      </w:pPr>
    </w:p>
    <w:p w:rsidR="00F81129" w:rsidRPr="00707204" w:rsidRDefault="00DD5765" w:rsidP="009A0937">
      <w:pPr>
        <w:spacing w:after="0"/>
        <w:rPr>
          <w:b/>
        </w:rPr>
      </w:pPr>
      <w:r w:rsidRPr="00707204">
        <w:rPr>
          <w:noProof/>
          <w:lang w:eastAsia="fr-FR"/>
        </w:rPr>
        <w:drawing>
          <wp:anchor distT="0" distB="0" distL="114300" distR="114300" simplePos="0" relativeHeight="251658240" behindDoc="0" locked="0" layoutInCell="1" allowOverlap="1" wp14:anchorId="2C676F23" wp14:editId="171F5ADA">
            <wp:simplePos x="0" y="0"/>
            <wp:positionH relativeFrom="column">
              <wp:posOffset>3283585</wp:posOffset>
            </wp:positionH>
            <wp:positionV relativeFrom="paragraph">
              <wp:posOffset>55880</wp:posOffset>
            </wp:positionV>
            <wp:extent cx="1939925" cy="1644650"/>
            <wp:effectExtent l="0" t="0" r="317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9925" cy="164465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472182">
        <w:rPr>
          <w:b/>
        </w:rPr>
        <w:t>c</w:t>
      </w:r>
      <w:proofErr w:type="gramEnd"/>
      <w:r w:rsidR="00472182">
        <w:rPr>
          <w:b/>
        </w:rPr>
        <w:t xml:space="preserve">, </w:t>
      </w:r>
      <w:r w:rsidR="00625796">
        <w:rPr>
          <w:b/>
        </w:rPr>
        <w:t>La structure du Groupe cible</w:t>
      </w:r>
      <w:r w:rsidR="00707204" w:rsidRPr="00707204">
        <w:rPr>
          <w:b/>
        </w:rPr>
        <w:t> :</w:t>
      </w:r>
    </w:p>
    <w:p w:rsidR="00707204" w:rsidRDefault="00707204" w:rsidP="009A0937">
      <w:pPr>
        <w:spacing w:after="0"/>
      </w:pPr>
    </w:p>
    <w:p w:rsidR="00707204" w:rsidRDefault="00310D83" w:rsidP="009A0937">
      <w:pPr>
        <w:spacing w:after="0"/>
      </w:pPr>
      <w:r>
        <w:t xml:space="preserve">Mr et Mme </w:t>
      </w:r>
      <w:proofErr w:type="spellStart"/>
      <w:r>
        <w:t>Sponton</w:t>
      </w:r>
      <w:proofErr w:type="spellEnd"/>
      <w:r>
        <w:t xml:space="preserve"> sont actionnaires de la Société </w:t>
      </w:r>
      <w:proofErr w:type="spellStart"/>
      <w:r>
        <w:t>Delavenne</w:t>
      </w:r>
      <w:proofErr w:type="spellEnd"/>
      <w:r>
        <w:t xml:space="preserve"> qui elle-même est la holding possédant 99% de la Société opérationnelle </w:t>
      </w:r>
      <w:proofErr w:type="spellStart"/>
      <w:r>
        <w:t>Garinot</w:t>
      </w:r>
      <w:proofErr w:type="spellEnd"/>
      <w:r>
        <w:t>.</w:t>
      </w:r>
    </w:p>
    <w:p w:rsidR="00707204" w:rsidRDefault="00707204" w:rsidP="009A0937">
      <w:pPr>
        <w:spacing w:after="0"/>
      </w:pPr>
    </w:p>
    <w:p w:rsidR="00DD5765" w:rsidRDefault="00DD5765">
      <w:r>
        <w:br w:type="page"/>
      </w:r>
    </w:p>
    <w:p w:rsidR="00707204" w:rsidRPr="00625796" w:rsidRDefault="00472182" w:rsidP="009A0937">
      <w:pPr>
        <w:spacing w:after="0"/>
        <w:rPr>
          <w:b/>
        </w:rPr>
      </w:pPr>
      <w:proofErr w:type="gramStart"/>
      <w:r>
        <w:rPr>
          <w:b/>
        </w:rPr>
        <w:lastRenderedPageBreak/>
        <w:t>d</w:t>
      </w:r>
      <w:proofErr w:type="gramEnd"/>
      <w:r>
        <w:rPr>
          <w:b/>
        </w:rPr>
        <w:t xml:space="preserve">, </w:t>
      </w:r>
      <w:r w:rsidR="00625796" w:rsidRPr="00625796">
        <w:rPr>
          <w:b/>
        </w:rPr>
        <w:t>Les comptes passés de la cible :</w:t>
      </w:r>
    </w:p>
    <w:p w:rsidR="005F2EED" w:rsidRDefault="005F2EED" w:rsidP="009A0937">
      <w:pPr>
        <w:spacing w:after="0"/>
        <w:rPr>
          <w:b/>
        </w:rPr>
      </w:pPr>
    </w:p>
    <w:p w:rsidR="004216E7" w:rsidRPr="004216E7" w:rsidRDefault="004216E7" w:rsidP="009A0937">
      <w:pPr>
        <w:spacing w:after="0"/>
        <w:rPr>
          <w:b/>
        </w:rPr>
      </w:pPr>
      <w:r w:rsidRPr="004216E7">
        <w:rPr>
          <w:b/>
        </w:rPr>
        <w:t>Comptes d’exploitation :</w:t>
      </w:r>
    </w:p>
    <w:p w:rsidR="00707204" w:rsidRDefault="004216E7" w:rsidP="009A0937">
      <w:pPr>
        <w:spacing w:after="0"/>
      </w:pPr>
      <w:r w:rsidRPr="004216E7">
        <w:rPr>
          <w:noProof/>
          <w:lang w:eastAsia="fr-FR"/>
        </w:rPr>
        <w:drawing>
          <wp:anchor distT="0" distB="0" distL="114300" distR="114300" simplePos="0" relativeHeight="251661312" behindDoc="0" locked="0" layoutInCell="1" allowOverlap="1" wp14:anchorId="7D0D5DA6" wp14:editId="04CE997A">
            <wp:simplePos x="0" y="0"/>
            <wp:positionH relativeFrom="column">
              <wp:posOffset>17780</wp:posOffset>
            </wp:positionH>
            <wp:positionV relativeFrom="paragraph">
              <wp:posOffset>50800</wp:posOffset>
            </wp:positionV>
            <wp:extent cx="3444240" cy="2170430"/>
            <wp:effectExtent l="0" t="0" r="3810" b="127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4240" cy="217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16E7">
        <w:rPr>
          <w:b/>
        </w:rPr>
        <w:t>Produits :</w:t>
      </w:r>
      <w:r>
        <w:t xml:space="preserve"> somme des commissions sur transaction, refacturations de prestations juridiques, courtage en financement et organisation de séquestres.</w:t>
      </w:r>
    </w:p>
    <w:p w:rsidR="00625796" w:rsidRDefault="004216E7" w:rsidP="009A0937">
      <w:pPr>
        <w:spacing w:after="0"/>
      </w:pPr>
      <w:r w:rsidRPr="004216E7">
        <w:rPr>
          <w:b/>
        </w:rPr>
        <w:t xml:space="preserve">Locations : </w:t>
      </w:r>
      <w:r>
        <w:t>bureaux situés au 6</w:t>
      </w:r>
      <w:r w:rsidRPr="004216E7">
        <w:rPr>
          <w:vertAlign w:val="superscript"/>
        </w:rPr>
        <w:t>ème</w:t>
      </w:r>
      <w:r>
        <w:t xml:space="preserve"> étage de la Tour Maine Montparnasse (150m²).</w:t>
      </w:r>
    </w:p>
    <w:p w:rsidR="004216E7" w:rsidRDefault="004216E7" w:rsidP="009A0937">
      <w:pPr>
        <w:spacing w:after="0"/>
      </w:pPr>
      <w:r w:rsidRPr="004216E7">
        <w:rPr>
          <w:b/>
        </w:rPr>
        <w:t>Commissions :</w:t>
      </w:r>
      <w:r>
        <w:t xml:space="preserve"> versées sur transactions pharmacies aux agents commerciaux.</w:t>
      </w:r>
      <w:r w:rsidR="00D23E1F">
        <w:t xml:space="preserve"> Ces Agents, au nombre de 20 actuellement sont rémunérés exclusivement en commissions, ce qui </w:t>
      </w:r>
      <w:r w:rsidR="00FA7917">
        <w:t xml:space="preserve">est un facteur de sécurité important du « business model » de </w:t>
      </w:r>
      <w:proofErr w:type="spellStart"/>
      <w:r w:rsidR="00FA7917">
        <w:t>Garinot</w:t>
      </w:r>
      <w:proofErr w:type="spellEnd"/>
      <w:r w:rsidR="00FA7917">
        <w:t xml:space="preserve"> et explique sa résilience.</w:t>
      </w:r>
    </w:p>
    <w:p w:rsidR="00707204" w:rsidRDefault="004216E7" w:rsidP="009A0937">
      <w:pPr>
        <w:spacing w:after="0"/>
      </w:pPr>
      <w:r>
        <w:t>La ligne r</w:t>
      </w:r>
      <w:r w:rsidRPr="004216E7">
        <w:rPr>
          <w:b/>
        </w:rPr>
        <w:t>émunérations</w:t>
      </w:r>
      <w:r>
        <w:t xml:space="preserve"> fait l’objet d’un commentaire particulier </w:t>
      </w:r>
      <w:r w:rsidR="00FA7917">
        <w:t>au § 2 c ci-après.</w:t>
      </w:r>
    </w:p>
    <w:p w:rsidR="00472182" w:rsidRDefault="00472182" w:rsidP="009A0937">
      <w:pPr>
        <w:spacing w:after="0"/>
        <w:rPr>
          <w:b/>
        </w:rPr>
      </w:pPr>
    </w:p>
    <w:p w:rsidR="004216E7" w:rsidRDefault="004216E7" w:rsidP="009A0937">
      <w:pPr>
        <w:spacing w:after="0"/>
        <w:rPr>
          <w:b/>
        </w:rPr>
      </w:pPr>
      <w:r>
        <w:rPr>
          <w:b/>
        </w:rPr>
        <w:t>Bilans :</w:t>
      </w:r>
    </w:p>
    <w:p w:rsidR="00F3716E" w:rsidRDefault="00F41376" w:rsidP="009A0937">
      <w:pPr>
        <w:spacing w:after="0"/>
      </w:pPr>
      <w:r w:rsidRPr="00F41376">
        <w:rPr>
          <w:noProof/>
          <w:lang w:eastAsia="fr-FR"/>
        </w:rPr>
        <w:drawing>
          <wp:anchor distT="0" distB="0" distL="114300" distR="114300" simplePos="0" relativeHeight="251672576" behindDoc="0" locked="0" layoutInCell="1" allowOverlap="1" wp14:anchorId="66D62C2E" wp14:editId="4169C138">
            <wp:simplePos x="0" y="0"/>
            <wp:positionH relativeFrom="column">
              <wp:posOffset>2338705</wp:posOffset>
            </wp:positionH>
            <wp:positionV relativeFrom="paragraph">
              <wp:posOffset>64135</wp:posOffset>
            </wp:positionV>
            <wp:extent cx="3434080" cy="2886710"/>
            <wp:effectExtent l="0" t="0" r="0" b="889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4080" cy="28867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3716E" w:rsidRDefault="00F3716E" w:rsidP="009A0937">
      <w:pPr>
        <w:spacing w:after="0"/>
      </w:pPr>
    </w:p>
    <w:p w:rsidR="00F3716E" w:rsidRDefault="00F3716E" w:rsidP="009A0937">
      <w:pPr>
        <w:spacing w:after="0"/>
      </w:pPr>
    </w:p>
    <w:p w:rsidR="00F3716E" w:rsidRDefault="00F3716E" w:rsidP="009A0937">
      <w:pPr>
        <w:spacing w:after="0"/>
      </w:pPr>
    </w:p>
    <w:p w:rsidR="004216E7" w:rsidRPr="00F3716E" w:rsidRDefault="00F3716E" w:rsidP="009A0937">
      <w:pPr>
        <w:spacing w:after="0"/>
      </w:pPr>
      <w:r w:rsidRPr="00F3716E">
        <w:t xml:space="preserve">La colonne 2011 correspond au bilan consolidé </w:t>
      </w:r>
      <w:proofErr w:type="spellStart"/>
      <w:r w:rsidRPr="00F3716E">
        <w:t>Garinot</w:t>
      </w:r>
      <w:proofErr w:type="spellEnd"/>
      <w:r w:rsidRPr="00F3716E">
        <w:t xml:space="preserve"> – </w:t>
      </w:r>
      <w:proofErr w:type="spellStart"/>
      <w:r w:rsidRPr="00F3716E">
        <w:t>Delavenne</w:t>
      </w:r>
      <w:proofErr w:type="spellEnd"/>
      <w:r w:rsidRPr="00F3716E">
        <w:t xml:space="preserve"> – Holding de reprise, qui sera le bilan de départ de </w:t>
      </w:r>
      <w:proofErr w:type="spellStart"/>
      <w:r w:rsidRPr="00F3716E">
        <w:t>Garinot</w:t>
      </w:r>
      <w:proofErr w:type="spellEnd"/>
      <w:r w:rsidRPr="00F3716E">
        <w:t xml:space="preserve"> sous nouvelle Direction.</w:t>
      </w:r>
    </w:p>
    <w:p w:rsidR="004216E7" w:rsidRPr="00F3716E" w:rsidRDefault="00F3716E" w:rsidP="009A0937">
      <w:pPr>
        <w:spacing w:after="0"/>
      </w:pPr>
      <w:r w:rsidRPr="00F3716E">
        <w:t xml:space="preserve">Pour détails de la consolidation, voir § 2 </w:t>
      </w:r>
      <w:r w:rsidR="00FA7917">
        <w:t xml:space="preserve">b </w:t>
      </w:r>
      <w:r w:rsidRPr="00F3716E">
        <w:t>ci-après.</w:t>
      </w:r>
    </w:p>
    <w:p w:rsidR="004216E7" w:rsidRDefault="004216E7" w:rsidP="009A0937">
      <w:pPr>
        <w:spacing w:after="0"/>
        <w:rPr>
          <w:b/>
        </w:rPr>
      </w:pPr>
    </w:p>
    <w:p w:rsidR="00F3716E" w:rsidRDefault="00F3716E" w:rsidP="009A0937">
      <w:pPr>
        <w:spacing w:after="0"/>
        <w:rPr>
          <w:b/>
        </w:rPr>
      </w:pPr>
    </w:p>
    <w:p w:rsidR="00F3716E" w:rsidRDefault="00F3716E" w:rsidP="009A0937">
      <w:pPr>
        <w:spacing w:after="0"/>
        <w:rPr>
          <w:b/>
        </w:rPr>
      </w:pPr>
    </w:p>
    <w:p w:rsidR="00F3716E" w:rsidRDefault="00F3716E" w:rsidP="009A0937">
      <w:pPr>
        <w:spacing w:after="0"/>
        <w:rPr>
          <w:b/>
        </w:rPr>
      </w:pPr>
    </w:p>
    <w:p w:rsidR="005F2EED" w:rsidRDefault="005F2EED" w:rsidP="009A0937">
      <w:pPr>
        <w:spacing w:after="0"/>
        <w:rPr>
          <w:b/>
        </w:rPr>
      </w:pPr>
    </w:p>
    <w:p w:rsidR="00172504" w:rsidRDefault="00172504" w:rsidP="009A0937">
      <w:pPr>
        <w:spacing w:after="0"/>
        <w:rPr>
          <w:b/>
        </w:rPr>
      </w:pPr>
      <w:proofErr w:type="gramStart"/>
      <w:r>
        <w:rPr>
          <w:b/>
        </w:rPr>
        <w:t>e</w:t>
      </w:r>
      <w:proofErr w:type="gramEnd"/>
      <w:r>
        <w:rPr>
          <w:b/>
        </w:rPr>
        <w:t>, les « sources de revenus » actuelles de l’</w:t>
      </w:r>
      <w:r w:rsidR="005F2EED">
        <w:rPr>
          <w:b/>
        </w:rPr>
        <w:t xml:space="preserve">activité de </w:t>
      </w:r>
      <w:proofErr w:type="spellStart"/>
      <w:r w:rsidR="005F2EED">
        <w:rPr>
          <w:b/>
        </w:rPr>
        <w:t>Garinot</w:t>
      </w:r>
      <w:proofErr w:type="spellEnd"/>
      <w:r w:rsidR="005F2EED">
        <w:rPr>
          <w:b/>
        </w:rPr>
        <w:t> :</w:t>
      </w:r>
    </w:p>
    <w:p w:rsidR="00172504" w:rsidRDefault="005E2FA1" w:rsidP="009A0937">
      <w:pPr>
        <w:spacing w:after="0"/>
        <w:rPr>
          <w:b/>
        </w:rPr>
      </w:pPr>
      <w:r w:rsidRPr="005E2FA1">
        <w:rPr>
          <w:noProof/>
          <w:lang w:eastAsia="fr-FR"/>
        </w:rPr>
        <w:drawing>
          <wp:anchor distT="0" distB="0" distL="114300" distR="114300" simplePos="0" relativeHeight="251664384" behindDoc="0" locked="0" layoutInCell="1" allowOverlap="1" wp14:anchorId="3BD51C01" wp14:editId="79A02F0C">
            <wp:simplePos x="0" y="0"/>
            <wp:positionH relativeFrom="column">
              <wp:posOffset>24130</wp:posOffset>
            </wp:positionH>
            <wp:positionV relativeFrom="paragraph">
              <wp:posOffset>46990</wp:posOffset>
            </wp:positionV>
            <wp:extent cx="3048000" cy="2105660"/>
            <wp:effectExtent l="0" t="0" r="0" b="889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0" cy="21056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E2FA1" w:rsidRPr="005E2FA1" w:rsidRDefault="005E2FA1" w:rsidP="005E2FA1">
      <w:pPr>
        <w:pStyle w:val="Paragraphedeliste"/>
        <w:spacing w:after="0"/>
      </w:pPr>
      <w:r>
        <w:t xml:space="preserve">Quatre </w:t>
      </w:r>
      <w:r w:rsidRPr="005E2FA1">
        <w:t xml:space="preserve">sources de revenus constituent l’activité de </w:t>
      </w:r>
      <w:proofErr w:type="spellStart"/>
      <w:r w:rsidRPr="005E2FA1">
        <w:t>Garinot</w:t>
      </w:r>
      <w:proofErr w:type="spellEnd"/>
      <w:r w:rsidRPr="005E2FA1">
        <w:t xml:space="preserve"> actuellement :</w:t>
      </w:r>
    </w:p>
    <w:p w:rsidR="005E2FA1" w:rsidRPr="005F2EED" w:rsidRDefault="005E2FA1" w:rsidP="005E2FA1">
      <w:pPr>
        <w:pStyle w:val="Paragraphedeliste"/>
        <w:spacing w:after="0"/>
        <w:ind w:left="360"/>
      </w:pPr>
      <w:r>
        <w:t>-</w:t>
      </w:r>
      <w:r w:rsidRPr="005F2EED">
        <w:rPr>
          <w:b/>
        </w:rPr>
        <w:t>commissions sur transactions </w:t>
      </w:r>
      <w:r>
        <w:t xml:space="preserve">: en moyenne </w:t>
      </w:r>
      <w:r w:rsidR="005F2EED">
        <w:t>4% sur transaction de 1,07M€, à un rythme annuel de 39 transactions.</w:t>
      </w:r>
    </w:p>
    <w:p w:rsidR="005E2FA1" w:rsidRPr="005F2EED" w:rsidRDefault="005F2EED" w:rsidP="009A0937">
      <w:pPr>
        <w:spacing w:after="0"/>
      </w:pPr>
      <w:r w:rsidRPr="005F2EED">
        <w:t xml:space="preserve">- chaque transaction demande 20K€ en moyenne de </w:t>
      </w:r>
      <w:r w:rsidRPr="005F2EED">
        <w:rPr>
          <w:b/>
        </w:rPr>
        <w:t>prestations juridiques</w:t>
      </w:r>
      <w:r w:rsidRPr="005F2EED">
        <w:t xml:space="preserve">, </w:t>
      </w:r>
      <w:r w:rsidRPr="005F2EED">
        <w:lastRenderedPageBreak/>
        <w:t xml:space="preserve">rémunérées par avocats concernés à hauteur de 40% au profit de </w:t>
      </w:r>
      <w:proofErr w:type="spellStart"/>
      <w:r w:rsidRPr="005F2EED">
        <w:t>Garinot</w:t>
      </w:r>
      <w:proofErr w:type="spellEnd"/>
      <w:r w:rsidRPr="005F2EED">
        <w:t>.</w:t>
      </w:r>
    </w:p>
    <w:p w:rsidR="005E2FA1" w:rsidRDefault="005F2EED" w:rsidP="009A0937">
      <w:pPr>
        <w:spacing w:after="0"/>
      </w:pPr>
      <w:r>
        <w:rPr>
          <w:b/>
        </w:rPr>
        <w:t>-rémunération d’organisation de séquestre :</w:t>
      </w:r>
      <w:r w:rsidRPr="005F2EED">
        <w:t xml:space="preserve"> </w:t>
      </w:r>
      <w:proofErr w:type="spellStart"/>
      <w:r>
        <w:t>Garinot</w:t>
      </w:r>
      <w:proofErr w:type="spellEnd"/>
      <w:r>
        <w:t xml:space="preserve"> organise les séquestres de fonds, notamment dans le cas de transaction sur fonds de commerce.</w:t>
      </w:r>
    </w:p>
    <w:p w:rsidR="005F2EED" w:rsidRPr="005F2EED" w:rsidRDefault="005F2EED" w:rsidP="009A0937">
      <w:pPr>
        <w:spacing w:after="0"/>
      </w:pPr>
      <w:r>
        <w:t>-</w:t>
      </w:r>
      <w:r w:rsidRPr="005F2EED">
        <w:rPr>
          <w:b/>
        </w:rPr>
        <w:t>courtage en financement :</w:t>
      </w:r>
      <w:r>
        <w:t xml:space="preserve"> dans la plupart des cas, </w:t>
      </w:r>
      <w:proofErr w:type="spellStart"/>
      <w:r>
        <w:t>Garinot</w:t>
      </w:r>
      <w:proofErr w:type="spellEnd"/>
      <w:r>
        <w:t xml:space="preserve"> assure la rédaction du business plan du repreneur et la constitution du dossier de financement.</w:t>
      </w:r>
    </w:p>
    <w:p w:rsidR="005E2FA1" w:rsidRDefault="005E2FA1" w:rsidP="009A0937">
      <w:pPr>
        <w:spacing w:after="0"/>
        <w:rPr>
          <w:b/>
        </w:rPr>
      </w:pPr>
    </w:p>
    <w:p w:rsidR="00707204" w:rsidRPr="00EB7375" w:rsidRDefault="00707204" w:rsidP="009A0937">
      <w:pPr>
        <w:spacing w:after="0"/>
        <w:rPr>
          <w:b/>
        </w:rPr>
      </w:pPr>
      <w:r w:rsidRPr="00EB7375">
        <w:rPr>
          <w:b/>
        </w:rPr>
        <w:t>2/ Les hypothèses fondamentales :</w:t>
      </w:r>
    </w:p>
    <w:p w:rsidR="00625796" w:rsidRDefault="00625796" w:rsidP="00EB7375">
      <w:pPr>
        <w:spacing w:after="0"/>
      </w:pPr>
    </w:p>
    <w:p w:rsidR="00F3716E" w:rsidRPr="00F3716E" w:rsidRDefault="00625796" w:rsidP="00EB7375">
      <w:pPr>
        <w:spacing w:after="0"/>
        <w:rPr>
          <w:b/>
        </w:rPr>
      </w:pPr>
      <w:proofErr w:type="gramStart"/>
      <w:r w:rsidRPr="00F3716E">
        <w:rPr>
          <w:b/>
        </w:rPr>
        <w:t>a</w:t>
      </w:r>
      <w:proofErr w:type="gramEnd"/>
      <w:r w:rsidRPr="00F3716E">
        <w:rPr>
          <w:b/>
        </w:rPr>
        <w:t xml:space="preserve">, </w:t>
      </w:r>
      <w:r w:rsidR="00F3716E" w:rsidRPr="00F3716E">
        <w:rPr>
          <w:b/>
        </w:rPr>
        <w:t xml:space="preserve">Date de reprise : </w:t>
      </w:r>
    </w:p>
    <w:p w:rsidR="00F3716E" w:rsidRDefault="00F3716E" w:rsidP="00EB7375">
      <w:pPr>
        <w:spacing w:after="0"/>
      </w:pPr>
    </w:p>
    <w:p w:rsidR="00EB7375" w:rsidRDefault="00EB7375" w:rsidP="00EB7375">
      <w:pPr>
        <w:spacing w:after="0"/>
      </w:pPr>
      <w:r>
        <w:t xml:space="preserve">L’hypothèse de base est que l’acquisition se fasse au </w:t>
      </w:r>
      <w:r w:rsidRPr="00625796">
        <w:rPr>
          <w:b/>
        </w:rPr>
        <w:t>début de l’année 2012</w:t>
      </w:r>
      <w:r>
        <w:t>, éventuellement rétroactivement au 1</w:t>
      </w:r>
      <w:r w:rsidRPr="009A0937">
        <w:rPr>
          <w:vertAlign w:val="superscript"/>
        </w:rPr>
        <w:t>er</w:t>
      </w:r>
      <w:r>
        <w:t xml:space="preserve"> janvier de manière à techniquement considérer que les 12 premiers mois d’exploitation coïncident avec l’année calendaire 2012.</w:t>
      </w:r>
    </w:p>
    <w:p w:rsidR="00625796" w:rsidRDefault="00625796" w:rsidP="00EB7375">
      <w:pPr>
        <w:spacing w:after="0"/>
      </w:pPr>
    </w:p>
    <w:p w:rsidR="00625796" w:rsidRDefault="00FA7917" w:rsidP="00625796">
      <w:pPr>
        <w:spacing w:after="0"/>
        <w:rPr>
          <w:b/>
        </w:rPr>
      </w:pPr>
      <w:proofErr w:type="gramStart"/>
      <w:r>
        <w:rPr>
          <w:b/>
        </w:rPr>
        <w:t>b</w:t>
      </w:r>
      <w:proofErr w:type="gramEnd"/>
      <w:r>
        <w:rPr>
          <w:b/>
        </w:rPr>
        <w:t>, La consolidation des</w:t>
      </w:r>
      <w:r w:rsidR="00F3716E">
        <w:rPr>
          <w:b/>
        </w:rPr>
        <w:t xml:space="preserve"> bilans</w:t>
      </w:r>
      <w:r w:rsidR="00625796" w:rsidRPr="00707204">
        <w:rPr>
          <w:b/>
        </w:rPr>
        <w:t xml:space="preserve"> du groupe acquis et de la structure d’acquisition :</w:t>
      </w:r>
    </w:p>
    <w:p w:rsidR="00F3716E" w:rsidRPr="00707204" w:rsidRDefault="00F3716E" w:rsidP="00625796">
      <w:pPr>
        <w:spacing w:after="0"/>
        <w:rPr>
          <w:b/>
        </w:rPr>
      </w:pPr>
    </w:p>
    <w:p w:rsidR="00707204" w:rsidRDefault="00420CE8" w:rsidP="009A0937">
      <w:pPr>
        <w:spacing w:after="0"/>
      </w:pPr>
      <w:r w:rsidRPr="00420CE8">
        <w:rPr>
          <w:noProof/>
          <w:lang w:eastAsia="fr-FR"/>
        </w:rPr>
        <w:drawing>
          <wp:inline distT="0" distB="0" distL="0" distR="0" wp14:anchorId="4F791330" wp14:editId="72E2005C">
            <wp:extent cx="5760720" cy="3081698"/>
            <wp:effectExtent l="0" t="0" r="0" b="444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081698"/>
                    </a:xfrm>
                    <a:prstGeom prst="rect">
                      <a:avLst/>
                    </a:prstGeom>
                    <a:noFill/>
                    <a:ln>
                      <a:noFill/>
                    </a:ln>
                  </pic:spPr>
                </pic:pic>
              </a:graphicData>
            </a:graphic>
          </wp:inline>
        </w:drawing>
      </w:r>
    </w:p>
    <w:p w:rsidR="00F3716E" w:rsidRDefault="00F3716E" w:rsidP="009A0937">
      <w:pPr>
        <w:spacing w:after="0"/>
      </w:pPr>
    </w:p>
    <w:p w:rsidR="00625796" w:rsidRPr="00F3716E" w:rsidRDefault="00F3716E" w:rsidP="009A0937">
      <w:pPr>
        <w:spacing w:after="0"/>
        <w:rPr>
          <w:b/>
        </w:rPr>
      </w:pPr>
      <w:proofErr w:type="gramStart"/>
      <w:r w:rsidRPr="00F3716E">
        <w:rPr>
          <w:b/>
        </w:rPr>
        <w:t>c</w:t>
      </w:r>
      <w:proofErr w:type="gramEnd"/>
      <w:r w:rsidRPr="00F3716E">
        <w:rPr>
          <w:b/>
        </w:rPr>
        <w:t xml:space="preserve">, </w:t>
      </w:r>
      <w:r w:rsidR="00625796" w:rsidRPr="00F3716E">
        <w:rPr>
          <w:b/>
        </w:rPr>
        <w:t>Hypothèses concernant le cœur de l’activité :</w:t>
      </w:r>
    </w:p>
    <w:p w:rsidR="00F3716E" w:rsidRDefault="00F3716E" w:rsidP="009A0937">
      <w:pPr>
        <w:spacing w:after="0"/>
      </w:pPr>
    </w:p>
    <w:p w:rsidR="009901A0" w:rsidRPr="000D3D42" w:rsidRDefault="000D3D42" w:rsidP="009A0937">
      <w:pPr>
        <w:spacing w:after="0"/>
        <w:rPr>
          <w:i/>
        </w:rPr>
      </w:pPr>
      <w:r w:rsidRPr="000D3D42">
        <w:rPr>
          <w:i/>
        </w:rPr>
        <w:t>Pour une lecture rapide, le lecteur peut se reporter au tableau comparatif des comptes d’exploitation «bas de fourchette » et « haut de fourchette » du § 3 a ci-après.</w:t>
      </w:r>
    </w:p>
    <w:p w:rsidR="009901A0" w:rsidRDefault="009901A0" w:rsidP="009A0937">
      <w:pPr>
        <w:spacing w:after="0"/>
      </w:pPr>
    </w:p>
    <w:p w:rsidR="00620DB6" w:rsidRPr="00620DB6" w:rsidRDefault="00620DB6" w:rsidP="009A0937">
      <w:pPr>
        <w:spacing w:after="0"/>
        <w:rPr>
          <w:b/>
        </w:rPr>
      </w:pPr>
      <w:r w:rsidRPr="00620DB6">
        <w:rPr>
          <w:b/>
        </w:rPr>
        <w:t>Hypothèse</w:t>
      </w:r>
      <w:r>
        <w:rPr>
          <w:b/>
        </w:rPr>
        <w:t>s</w:t>
      </w:r>
      <w:r w:rsidRPr="00620DB6">
        <w:rPr>
          <w:b/>
        </w:rPr>
        <w:t xml:space="preserve"> sur le nombre de transactions par an :</w:t>
      </w:r>
    </w:p>
    <w:p w:rsidR="00625796" w:rsidRDefault="00620DB6" w:rsidP="009A0937">
      <w:pPr>
        <w:spacing w:after="0"/>
      </w:pPr>
      <w:r>
        <w:t xml:space="preserve">Le cœur de l’activité est l’ « intermédiation en </w:t>
      </w:r>
      <w:r w:rsidR="00625796">
        <w:t>transaction</w:t>
      </w:r>
      <w:r>
        <w:t>s</w:t>
      </w:r>
      <w:r w:rsidR="00625796">
        <w:t xml:space="preserve"> de pharmacies d’officine</w:t>
      </w:r>
      <w:r>
        <w:t> », première source de revenus comme indiqué ci-dessus</w:t>
      </w:r>
      <w:r w:rsidR="00625796">
        <w:t>. En 2010 et 2011, 39 opérations ont été réalisées</w:t>
      </w:r>
    </w:p>
    <w:p w:rsidR="005A4F53" w:rsidRDefault="00625796" w:rsidP="009A0937">
      <w:pPr>
        <w:spacing w:after="0"/>
      </w:pPr>
      <w:r>
        <w:t>Deux scénarios sont présentés dans ce qui suit :</w:t>
      </w:r>
    </w:p>
    <w:p w:rsidR="00625796" w:rsidRDefault="00625796" w:rsidP="00625796">
      <w:pPr>
        <w:pStyle w:val="Paragraphedeliste"/>
        <w:numPr>
          <w:ilvl w:val="0"/>
          <w:numId w:val="1"/>
        </w:numPr>
        <w:spacing w:after="0"/>
      </w:pPr>
      <w:r>
        <w:t>Un scénario « bas de fourchette » correspondant à une situation de no</w:t>
      </w:r>
      <w:r w:rsidR="00620DB6">
        <w:t>n croissance de l’activité intermédiation. Sont conservées en hypothèse 39 transactions par an.</w:t>
      </w:r>
    </w:p>
    <w:p w:rsidR="00625796" w:rsidRDefault="00625796" w:rsidP="00625796">
      <w:pPr>
        <w:pStyle w:val="Paragraphedeliste"/>
        <w:numPr>
          <w:ilvl w:val="0"/>
          <w:numId w:val="1"/>
        </w:numPr>
        <w:spacing w:after="0"/>
      </w:pPr>
      <w:r>
        <w:lastRenderedPageBreak/>
        <w:t xml:space="preserve">Un </w:t>
      </w:r>
      <w:r w:rsidR="000B686D">
        <w:t>scénario « haut de fourchette ».</w:t>
      </w:r>
      <w:r w:rsidR="00620DB6">
        <w:t xml:space="preserve"> Le nombre de transactions par an passe à 50 en 2016 par croissance régulière année après année. En outre le montant moyen par transaction lui aussi croît de 2% par an.</w:t>
      </w:r>
      <w:r w:rsidR="00767E05">
        <w:t xml:space="preserve"> Ce qui au total entraîne une augmentation de 8% par an en moyenne sur la période des revenus émanant de cette source.</w:t>
      </w:r>
    </w:p>
    <w:p w:rsidR="00451628" w:rsidRDefault="00451628" w:rsidP="00451628">
      <w:pPr>
        <w:spacing w:after="0"/>
      </w:pPr>
    </w:p>
    <w:p w:rsidR="00DE2A97" w:rsidRPr="00620DB6" w:rsidRDefault="00620DB6" w:rsidP="00451628">
      <w:pPr>
        <w:spacing w:after="0"/>
        <w:rPr>
          <w:b/>
        </w:rPr>
      </w:pPr>
      <w:r w:rsidRPr="00620DB6">
        <w:rPr>
          <w:b/>
        </w:rPr>
        <w:t>Conséquences sur les sources de revenus complémentaires :</w:t>
      </w:r>
    </w:p>
    <w:p w:rsidR="00DE2A97" w:rsidRDefault="00620DB6" w:rsidP="00451628">
      <w:pPr>
        <w:spacing w:after="0"/>
      </w:pPr>
      <w:r>
        <w:t xml:space="preserve">Aucune hypothèse complémentaire n’est prise sur les autres sources de revenu traditionnelles de </w:t>
      </w:r>
      <w:proofErr w:type="spellStart"/>
      <w:r>
        <w:t>Garinot</w:t>
      </w:r>
      <w:proofErr w:type="spellEnd"/>
      <w:r>
        <w:t>. Les modifications qui apparaissent sont dues aux conséquences mécaniques de l’évolution des transactions de base. Ainsi le nombre de transaction de base augmentant, les revenus en provenance des prestations juridiques augmente…</w:t>
      </w:r>
    </w:p>
    <w:p w:rsidR="00620DB6" w:rsidRDefault="00620DB6" w:rsidP="00451628">
      <w:pPr>
        <w:spacing w:after="0"/>
      </w:pPr>
    </w:p>
    <w:p w:rsidR="00DE2A97" w:rsidRPr="00620DB6" w:rsidRDefault="00620DB6" w:rsidP="00451628">
      <w:pPr>
        <w:spacing w:after="0"/>
        <w:rPr>
          <w:b/>
        </w:rPr>
      </w:pPr>
      <w:r w:rsidRPr="00620DB6">
        <w:rPr>
          <w:b/>
        </w:rPr>
        <w:t>Hypothèses sur les rémunérations :</w:t>
      </w:r>
    </w:p>
    <w:p w:rsidR="00451628" w:rsidRDefault="00451628" w:rsidP="00620DB6">
      <w:pPr>
        <w:spacing w:after="0"/>
      </w:pPr>
      <w:r>
        <w:t>Le §</w:t>
      </w:r>
      <w:r w:rsidR="00620DB6">
        <w:t>1 d</w:t>
      </w:r>
      <w:r>
        <w:t xml:space="preserve"> ci-dessus indique que le total des rémunérations chargées payées par la Société à ses employés salariés s’élevait à 865K€ en 2010 et 2011. </w:t>
      </w:r>
      <w:r w:rsidR="00620DB6">
        <w:t>Cette rémunération se partage</w:t>
      </w:r>
      <w:r>
        <w:t xml:space="preserve"> à hauteur de :</w:t>
      </w:r>
    </w:p>
    <w:p w:rsidR="00451628" w:rsidRDefault="00451628" w:rsidP="00451628">
      <w:pPr>
        <w:numPr>
          <w:ilvl w:val="0"/>
          <w:numId w:val="9"/>
        </w:numPr>
        <w:spacing w:after="0" w:line="240" w:lineRule="auto"/>
      </w:pPr>
      <w:r>
        <w:t>150K€ pour le Directeur Administratif et 1,5 secrétaire assistante</w:t>
      </w:r>
    </w:p>
    <w:p w:rsidR="00451628" w:rsidRDefault="00451628" w:rsidP="00451628">
      <w:pPr>
        <w:numPr>
          <w:ilvl w:val="0"/>
          <w:numId w:val="9"/>
        </w:numPr>
        <w:spacing w:after="0" w:line="240" w:lineRule="auto"/>
      </w:pPr>
      <w:r>
        <w:t>715K€ pour la Direction Générale de l’entreprise.</w:t>
      </w:r>
    </w:p>
    <w:p w:rsidR="00451628" w:rsidRDefault="00451628" w:rsidP="00451628">
      <w:r>
        <w:t>Il est fait l’hypothèse que le changement d’actionnaires du Groupe entraînera une révision de la rémunération de la Direction Générale et que l’ensemble des rémunérations s’élèvera</w:t>
      </w:r>
      <w:r w:rsidR="00620DB6">
        <w:t xml:space="preserve"> à partir de 2012 à 290K€. Elles seront augmentées de 50K en 2013 dans le scénario de bas de fourchette, de 100K pour le scénario haut de fourchette avec une croissance annuelle de 5% dans ce même scénario.</w:t>
      </w:r>
    </w:p>
    <w:p w:rsidR="009171F9" w:rsidRDefault="009171F9" w:rsidP="009171F9">
      <w:pPr>
        <w:spacing w:after="0"/>
      </w:pPr>
    </w:p>
    <w:p w:rsidR="00172504" w:rsidRPr="00172504" w:rsidRDefault="004E2568" w:rsidP="009171F9">
      <w:pPr>
        <w:spacing w:after="0"/>
        <w:rPr>
          <w:b/>
        </w:rPr>
      </w:pPr>
      <w:proofErr w:type="gramStart"/>
      <w:r>
        <w:rPr>
          <w:b/>
        </w:rPr>
        <w:t>d</w:t>
      </w:r>
      <w:proofErr w:type="gramEnd"/>
      <w:r>
        <w:rPr>
          <w:b/>
        </w:rPr>
        <w:t>, Hypothèses concernant l’apport de business supplémentaire</w:t>
      </w:r>
      <w:r w:rsidR="00AE7262">
        <w:rPr>
          <w:b/>
        </w:rPr>
        <w:t xml:space="preserve"> par le porteur de projet</w:t>
      </w:r>
      <w:r w:rsidR="00172504" w:rsidRPr="00172504">
        <w:rPr>
          <w:b/>
        </w:rPr>
        <w:t> :</w:t>
      </w:r>
    </w:p>
    <w:p w:rsidR="00172504" w:rsidRDefault="00172504" w:rsidP="009171F9">
      <w:pPr>
        <w:spacing w:after="0"/>
      </w:pPr>
    </w:p>
    <w:p w:rsidR="005E60B6" w:rsidRPr="000B686D" w:rsidRDefault="005E60B6" w:rsidP="009901A0">
      <w:pPr>
        <w:spacing w:after="0"/>
        <w:rPr>
          <w:b/>
        </w:rPr>
      </w:pPr>
      <w:r w:rsidRPr="000B686D">
        <w:rPr>
          <w:b/>
        </w:rPr>
        <w:t>d1 – apports pris en compte dans les Business Plans (version basse et version haute) :</w:t>
      </w:r>
    </w:p>
    <w:p w:rsidR="0085183F" w:rsidRDefault="0085183F" w:rsidP="005E60B6">
      <w:pPr>
        <w:spacing w:after="0"/>
      </w:pPr>
    </w:p>
    <w:p w:rsidR="00172504" w:rsidRDefault="004E2568" w:rsidP="005E60B6">
      <w:pPr>
        <w:spacing w:after="0"/>
      </w:pPr>
      <w:r>
        <w:t xml:space="preserve">Dans les 2 scénarios, nous avons considéré </w:t>
      </w:r>
      <w:r w:rsidR="005E60B6">
        <w:t xml:space="preserve">comme </w:t>
      </w:r>
      <w:r>
        <w:t>apport d’opérations complémentaires aux opérat</w:t>
      </w:r>
      <w:r w:rsidR="005E60B6">
        <w:t>ions « cœur d’activité » celles liées à l’activité de Gestion de Patrimoine. Nous considérons en effet que tout vendeur de pharmacie dont la motivation de vente est le départ à la retraite se retrouve, à la suite de l’opération, en possession de liquidités qu’il cherchera à « placer » et à gérer sur longue période. En effet, les revenus et la liquidation progressive de ces disponibilités seront pour les 20 à 30 années de sa retraite un complément de revenu important.</w:t>
      </w:r>
    </w:p>
    <w:p w:rsidR="005E60B6" w:rsidRDefault="005E60B6" w:rsidP="005E60B6">
      <w:pPr>
        <w:spacing w:after="0"/>
      </w:pPr>
    </w:p>
    <w:p w:rsidR="005E60B6" w:rsidRDefault="005E60B6" w:rsidP="005E60B6">
      <w:pPr>
        <w:spacing w:after="0"/>
      </w:pPr>
      <w:r>
        <w:t xml:space="preserve">En conséquence, nous pouvons offrir à ces vendeurs souhaitant prendre leur retraite un ensemble de services en matière de placement et de gestion de leur patrimoine. Ce service peut être offert soit en interne (présence de gestionnaire de patrimoines dans l’équipe de reprise), soit en externe par contrat commercial avec des gestionnaires de patrimoine tels que : UFF, Avenir Finance (toutes 2 cotées), ou encore des réseaux de Sociétés d’Assurance Vie (AXA, </w:t>
      </w:r>
      <w:proofErr w:type="spellStart"/>
      <w:r>
        <w:t>Swiss</w:t>
      </w:r>
      <w:proofErr w:type="spellEnd"/>
      <w:r>
        <w:t xml:space="preserve"> Life…).</w:t>
      </w:r>
      <w:r w:rsidR="00767E05">
        <w:t xml:space="preserve"> Des contacts ont été déjà pris avec certaines de ces entités.</w:t>
      </w:r>
    </w:p>
    <w:p w:rsidR="005E60B6" w:rsidRDefault="005E60B6" w:rsidP="005E60B6">
      <w:pPr>
        <w:spacing w:after="0"/>
      </w:pPr>
    </w:p>
    <w:p w:rsidR="005E60B6" w:rsidRDefault="005E60B6" w:rsidP="009171F9">
      <w:pPr>
        <w:spacing w:after="0"/>
      </w:pPr>
      <w:r>
        <w:t>Voici les hypothèses quantitatives de cet apport d’affaires</w:t>
      </w:r>
      <w:r w:rsidR="00336738">
        <w:t xml:space="preserve"> (voir le détail sur Comptes chiffrés) :</w:t>
      </w:r>
    </w:p>
    <w:p w:rsidR="00172504" w:rsidRDefault="0085183F" w:rsidP="0085183F">
      <w:pPr>
        <w:pStyle w:val="Paragraphedeliste"/>
        <w:numPr>
          <w:ilvl w:val="0"/>
          <w:numId w:val="9"/>
        </w:numPr>
        <w:spacing w:after="0"/>
      </w:pPr>
      <w:r>
        <w:t xml:space="preserve">20% à 25% des transactions donnent lieu à une « captation d’épargne », soit </w:t>
      </w:r>
      <w:r w:rsidR="00336738">
        <w:t>une dizaine d’opérations par an.</w:t>
      </w:r>
    </w:p>
    <w:p w:rsidR="00336738" w:rsidRDefault="00336738" w:rsidP="0085183F">
      <w:pPr>
        <w:pStyle w:val="Paragraphedeliste"/>
        <w:numPr>
          <w:ilvl w:val="0"/>
          <w:numId w:val="9"/>
        </w:numPr>
        <w:spacing w:after="0"/>
      </w:pPr>
      <w:r>
        <w:t>50% du montant de chaque opération « captée » donne lieu à placement (500K€ environ).</w:t>
      </w:r>
    </w:p>
    <w:p w:rsidR="00336738" w:rsidRDefault="00336738" w:rsidP="0085183F">
      <w:pPr>
        <w:pStyle w:val="Paragraphedeliste"/>
        <w:numPr>
          <w:ilvl w:val="0"/>
          <w:numId w:val="9"/>
        </w:numPr>
        <w:spacing w:after="0"/>
      </w:pPr>
      <w:r>
        <w:t>Les honoraires liés à de chaque opération de captation sont de 2.5% du montant recueilli.</w:t>
      </w:r>
    </w:p>
    <w:p w:rsidR="00336738" w:rsidRDefault="00336738" w:rsidP="0085183F">
      <w:pPr>
        <w:pStyle w:val="Paragraphedeliste"/>
        <w:numPr>
          <w:ilvl w:val="0"/>
          <w:numId w:val="9"/>
        </w:numPr>
        <w:spacing w:after="0"/>
      </w:pPr>
      <w:r>
        <w:lastRenderedPageBreak/>
        <w:t>La rémunération récurrente versée par les fournisseurs (ex : fournisseurs d’assurance vie) sur les montants annuels en comptes est de 0.5%.</w:t>
      </w:r>
    </w:p>
    <w:p w:rsidR="00336738" w:rsidRDefault="00336738" w:rsidP="0085183F">
      <w:pPr>
        <w:pStyle w:val="Paragraphedeliste"/>
        <w:numPr>
          <w:ilvl w:val="0"/>
          <w:numId w:val="9"/>
        </w:numPr>
        <w:spacing w:after="0"/>
      </w:pPr>
      <w:r>
        <w:t xml:space="preserve">Enfin sur les revenus ainsi produits pour </w:t>
      </w:r>
      <w:proofErr w:type="spellStart"/>
      <w:r>
        <w:t>Garinot</w:t>
      </w:r>
      <w:proofErr w:type="spellEnd"/>
      <w:r>
        <w:t xml:space="preserve">, nous affectons un coût de 80% (en « autres achats et charges externes ») équivalent d’une hypothèse de « contribution marginale » de 20% du revenu ainsi créé. Vu différemment, ce 20% peut être considéré comme une rémunération d’apporteur d’affaires versée à </w:t>
      </w:r>
      <w:proofErr w:type="spellStart"/>
      <w:r>
        <w:t>Garinot</w:t>
      </w:r>
      <w:proofErr w:type="spellEnd"/>
      <w:r>
        <w:t xml:space="preserve"> par les grands fournisseurs de produits de placement (compagnies d’assurance essentiellement, et dans une moindre mesure promoteurs immobiliers).</w:t>
      </w:r>
    </w:p>
    <w:p w:rsidR="00172504" w:rsidRDefault="00172504" w:rsidP="009171F9">
      <w:pPr>
        <w:spacing w:after="0"/>
      </w:pPr>
    </w:p>
    <w:p w:rsidR="00172504" w:rsidRDefault="000B686D" w:rsidP="009171F9">
      <w:pPr>
        <w:spacing w:after="0"/>
        <w:rPr>
          <w:b/>
        </w:rPr>
      </w:pPr>
      <w:r w:rsidRPr="00767E05">
        <w:rPr>
          <w:b/>
        </w:rPr>
        <w:t>d</w:t>
      </w:r>
      <w:r w:rsidR="005E60B6" w:rsidRPr="00767E05">
        <w:rPr>
          <w:b/>
        </w:rPr>
        <w:t>2 – Autres apports d’affai</w:t>
      </w:r>
      <w:r w:rsidR="00A06A82" w:rsidRPr="00767E05">
        <w:rPr>
          <w:b/>
        </w:rPr>
        <w:t>res, non pris</w:t>
      </w:r>
      <w:r w:rsidR="005E60B6" w:rsidRPr="00767E05">
        <w:rPr>
          <w:b/>
        </w:rPr>
        <w:t xml:space="preserve"> en compte, mais potentiellement prometteurs :</w:t>
      </w:r>
    </w:p>
    <w:p w:rsidR="0085183F" w:rsidRPr="00767E05" w:rsidRDefault="0085183F" w:rsidP="009171F9">
      <w:pPr>
        <w:spacing w:after="0"/>
        <w:rPr>
          <w:b/>
        </w:rPr>
      </w:pPr>
    </w:p>
    <w:p w:rsidR="005E60B6" w:rsidRDefault="00D23E1F" w:rsidP="00D23E1F">
      <w:pPr>
        <w:spacing w:after="0"/>
      </w:pPr>
      <w:r>
        <w:t>Pour mémoire nous indiquons dans ce paragraphe que le réseau d’agents commerciaux</w:t>
      </w:r>
      <w:r w:rsidR="007A6782">
        <w:t xml:space="preserve">, de </w:t>
      </w:r>
      <w:r w:rsidR="003D393B">
        <w:t xml:space="preserve">par son introduction auprès de leur clientèle et de par le travail accompli auprès d’elle dans des moments privilégiés, est en position </w:t>
      </w:r>
      <w:r w:rsidR="0085183F">
        <w:t>d’être à la source d’opérations telles que :</w:t>
      </w:r>
    </w:p>
    <w:p w:rsidR="0085183F" w:rsidRDefault="0085183F" w:rsidP="0085183F">
      <w:pPr>
        <w:pStyle w:val="Paragraphedeliste"/>
        <w:numPr>
          <w:ilvl w:val="0"/>
          <w:numId w:val="9"/>
        </w:numPr>
        <w:spacing w:after="0"/>
      </w:pPr>
      <w:r>
        <w:t>Financement des murs de pharmacie par apport à SCPI spécialisées (rémunération d’apport d’affaire),</w:t>
      </w:r>
    </w:p>
    <w:p w:rsidR="0085183F" w:rsidRDefault="0085183F" w:rsidP="0085183F">
      <w:pPr>
        <w:pStyle w:val="Paragraphedeliste"/>
        <w:numPr>
          <w:ilvl w:val="0"/>
          <w:numId w:val="9"/>
        </w:numPr>
        <w:spacing w:after="0"/>
      </w:pPr>
      <w:r>
        <w:t>Refinancement pour les opérations « difficiles » (courtage),</w:t>
      </w:r>
    </w:p>
    <w:p w:rsidR="0085183F" w:rsidRDefault="0085183F" w:rsidP="0085183F">
      <w:pPr>
        <w:pStyle w:val="Paragraphedeliste"/>
        <w:numPr>
          <w:ilvl w:val="0"/>
          <w:numId w:val="9"/>
        </w:numPr>
        <w:spacing w:after="0"/>
      </w:pPr>
      <w:r>
        <w:t>Introduction de prestataires de Plans d’Epargne Salariale auprès des pharmaciens acheteurs (apport d’affaires),</w:t>
      </w:r>
    </w:p>
    <w:p w:rsidR="0085183F" w:rsidRDefault="0085183F" w:rsidP="0085183F">
      <w:pPr>
        <w:pStyle w:val="Paragraphedeliste"/>
        <w:numPr>
          <w:ilvl w:val="0"/>
          <w:numId w:val="9"/>
        </w:numPr>
        <w:spacing w:after="0"/>
      </w:pPr>
      <w:r>
        <w:t>Introduction d’agenceurs professionnels de pharmacies auprès des acheteurs de pharmacies (l’Agent de la Réunion a mis au point un accord de ce genre).</w:t>
      </w:r>
    </w:p>
    <w:p w:rsidR="009901A0" w:rsidRDefault="009901A0" w:rsidP="009901A0">
      <w:pPr>
        <w:spacing w:after="0"/>
      </w:pPr>
    </w:p>
    <w:p w:rsidR="009901A0" w:rsidRPr="009901A0" w:rsidRDefault="009901A0" w:rsidP="009901A0">
      <w:pPr>
        <w:spacing w:after="0"/>
        <w:rPr>
          <w:b/>
        </w:rPr>
      </w:pPr>
      <w:r w:rsidRPr="009901A0">
        <w:rPr>
          <w:b/>
        </w:rPr>
        <w:t>3/ Business Plans « bas et haut de fourchette » :</w:t>
      </w:r>
    </w:p>
    <w:p w:rsidR="009901A0" w:rsidRDefault="009901A0" w:rsidP="009901A0">
      <w:pPr>
        <w:spacing w:after="0"/>
      </w:pPr>
    </w:p>
    <w:p w:rsidR="009901A0" w:rsidRPr="009901A0" w:rsidRDefault="009901A0" w:rsidP="009901A0">
      <w:pPr>
        <w:spacing w:after="0"/>
        <w:rPr>
          <w:b/>
        </w:rPr>
      </w:pPr>
      <w:proofErr w:type="gramStart"/>
      <w:r w:rsidRPr="009901A0">
        <w:rPr>
          <w:b/>
        </w:rPr>
        <w:t>a</w:t>
      </w:r>
      <w:proofErr w:type="gramEnd"/>
      <w:r w:rsidRPr="009901A0">
        <w:rPr>
          <w:b/>
        </w:rPr>
        <w:t>, Comptes d’exploitation comparés :</w:t>
      </w:r>
    </w:p>
    <w:p w:rsidR="009901A0" w:rsidRDefault="009901A0" w:rsidP="009901A0">
      <w:pPr>
        <w:spacing w:after="0"/>
      </w:pPr>
    </w:p>
    <w:p w:rsidR="00336738" w:rsidRDefault="00336738" w:rsidP="009901A0">
      <w:pPr>
        <w:spacing w:after="0"/>
      </w:pPr>
    </w:p>
    <w:p w:rsidR="009901A0" w:rsidRDefault="009901A0" w:rsidP="009901A0">
      <w:pPr>
        <w:spacing w:after="0"/>
      </w:pPr>
      <w:r w:rsidRPr="009901A0">
        <w:rPr>
          <w:noProof/>
          <w:lang w:eastAsia="fr-FR"/>
        </w:rPr>
        <w:drawing>
          <wp:anchor distT="0" distB="0" distL="114300" distR="114300" simplePos="0" relativeHeight="251668480" behindDoc="0" locked="0" layoutInCell="1" allowOverlap="1" wp14:anchorId="3E554B0B" wp14:editId="692CB338">
            <wp:simplePos x="0" y="0"/>
            <wp:positionH relativeFrom="column">
              <wp:posOffset>240030</wp:posOffset>
            </wp:positionH>
            <wp:positionV relativeFrom="paragraph">
              <wp:posOffset>138430</wp:posOffset>
            </wp:positionV>
            <wp:extent cx="5756275" cy="322516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275" cy="32251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901A0" w:rsidRPr="00D23E1F" w:rsidRDefault="00D23E1F" w:rsidP="009901A0">
      <w:pPr>
        <w:spacing w:after="0"/>
        <w:rPr>
          <w:b/>
        </w:rPr>
      </w:pPr>
      <w:r w:rsidRPr="00D23E1F">
        <w:rPr>
          <w:b/>
        </w:rPr>
        <w:lastRenderedPageBreak/>
        <w:t>Commentaires :</w:t>
      </w:r>
    </w:p>
    <w:p w:rsidR="00D23E1F" w:rsidRDefault="00D23E1F" w:rsidP="00D23E1F">
      <w:pPr>
        <w:pStyle w:val="Paragraphedeliste"/>
        <w:numPr>
          <w:ilvl w:val="0"/>
          <w:numId w:val="10"/>
        </w:numPr>
        <w:spacing w:after="0"/>
      </w:pPr>
      <w:r>
        <w:t xml:space="preserve">Les principales hypothèses et différences se situent sur les lignes </w:t>
      </w:r>
      <w:r w:rsidRPr="00E66FBF">
        <w:rPr>
          <w:u w:val="single"/>
        </w:rPr>
        <w:t>surlignées en jaune</w:t>
      </w:r>
      <w:r>
        <w:t>.</w:t>
      </w:r>
      <w:r w:rsidR="00E66FBF">
        <w:t xml:space="preserve"> Essentiellement : nombre de transactions, Autres Achats et Charges Externes et rémunérations.</w:t>
      </w:r>
    </w:p>
    <w:p w:rsidR="00D23E1F" w:rsidRDefault="00D23E1F" w:rsidP="00D23E1F">
      <w:pPr>
        <w:pStyle w:val="Paragraphedeliste"/>
        <w:numPr>
          <w:ilvl w:val="0"/>
          <w:numId w:val="10"/>
        </w:numPr>
        <w:spacing w:after="0"/>
      </w:pPr>
      <w:r>
        <w:t>Les différences entre haut et bas de fourchette sur les lignes non surlignées sont mécaniques : ainsi, le montant des commissions versées aux Agents Commerciaux est une fonction linéaire du montant des transactions effectuées dans l’année, puisque les Agents Commerciaux sont rémunérés exclusivement à la commission.</w:t>
      </w:r>
    </w:p>
    <w:p w:rsidR="009901A0" w:rsidRDefault="009901A0" w:rsidP="009901A0">
      <w:pPr>
        <w:spacing w:after="0"/>
      </w:pPr>
    </w:p>
    <w:p w:rsidR="00422408" w:rsidRDefault="00422408" w:rsidP="009901A0">
      <w:pPr>
        <w:spacing w:after="0"/>
      </w:pPr>
    </w:p>
    <w:p w:rsidR="009171F9" w:rsidRDefault="009901A0" w:rsidP="009171F9">
      <w:pPr>
        <w:spacing w:after="0"/>
        <w:rPr>
          <w:b/>
        </w:rPr>
      </w:pPr>
      <w:proofErr w:type="gramStart"/>
      <w:r>
        <w:rPr>
          <w:b/>
        </w:rPr>
        <w:t>b</w:t>
      </w:r>
      <w:proofErr w:type="gramEnd"/>
      <w:r>
        <w:rPr>
          <w:b/>
        </w:rPr>
        <w:t>,</w:t>
      </w:r>
      <w:r w:rsidR="001B46E3" w:rsidRPr="001B46E3">
        <w:rPr>
          <w:b/>
        </w:rPr>
        <w:t xml:space="preserve"> </w:t>
      </w:r>
      <w:r>
        <w:rPr>
          <w:b/>
        </w:rPr>
        <w:t>Bilans</w:t>
      </w:r>
      <w:r w:rsidR="001B46E3">
        <w:rPr>
          <w:b/>
        </w:rPr>
        <w:t xml:space="preserve"> « bas de fourchette » :</w:t>
      </w:r>
    </w:p>
    <w:p w:rsidR="00172504" w:rsidRDefault="00420CE8" w:rsidP="009171F9">
      <w:pPr>
        <w:spacing w:after="0"/>
        <w:rPr>
          <w:b/>
        </w:rPr>
      </w:pPr>
      <w:r w:rsidRPr="00420CE8">
        <w:rPr>
          <w:noProof/>
          <w:lang w:eastAsia="fr-FR"/>
        </w:rPr>
        <w:drawing>
          <wp:anchor distT="0" distB="0" distL="114300" distR="114300" simplePos="0" relativeHeight="251673600" behindDoc="0" locked="0" layoutInCell="1" allowOverlap="1" wp14:anchorId="3E9DDA4B" wp14:editId="48CC3202">
            <wp:simplePos x="0" y="0"/>
            <wp:positionH relativeFrom="column">
              <wp:posOffset>-5080</wp:posOffset>
            </wp:positionH>
            <wp:positionV relativeFrom="paragraph">
              <wp:posOffset>149225</wp:posOffset>
            </wp:positionV>
            <wp:extent cx="3589020" cy="2522855"/>
            <wp:effectExtent l="0"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9020" cy="2522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72504" w:rsidRDefault="00172504" w:rsidP="009171F9">
      <w:pPr>
        <w:spacing w:after="0"/>
        <w:rPr>
          <w:b/>
        </w:rPr>
      </w:pPr>
    </w:p>
    <w:p w:rsidR="00172504" w:rsidRDefault="00172504" w:rsidP="009171F9">
      <w:pPr>
        <w:spacing w:after="0"/>
        <w:rPr>
          <w:b/>
        </w:rPr>
      </w:pPr>
    </w:p>
    <w:p w:rsidR="003237C4" w:rsidRPr="003237C4" w:rsidRDefault="003237C4" w:rsidP="009171F9">
      <w:pPr>
        <w:spacing w:after="0"/>
      </w:pPr>
      <w:r w:rsidRPr="003237C4">
        <w:t>Ces bilans découlent directement des comptes d’exploitation prévisionnels et :</w:t>
      </w:r>
    </w:p>
    <w:p w:rsidR="003237C4" w:rsidRPr="003237C4" w:rsidRDefault="003237C4" w:rsidP="003237C4">
      <w:pPr>
        <w:pStyle w:val="Paragraphedeliste"/>
        <w:spacing w:after="0"/>
        <w:ind w:left="360"/>
      </w:pPr>
      <w:r w:rsidRPr="003237C4">
        <w:t>- non distribution de dividendes,</w:t>
      </w:r>
    </w:p>
    <w:p w:rsidR="003237C4" w:rsidRPr="003237C4" w:rsidRDefault="003237C4" w:rsidP="003237C4">
      <w:pPr>
        <w:pStyle w:val="Paragraphedeliste"/>
        <w:spacing w:after="0"/>
        <w:ind w:left="360"/>
      </w:pPr>
      <w:r w:rsidRPr="003237C4">
        <w:t>- dette senior sur 8 ans,</w:t>
      </w:r>
    </w:p>
    <w:p w:rsidR="00172504" w:rsidRPr="003237C4" w:rsidRDefault="003237C4" w:rsidP="003237C4">
      <w:pPr>
        <w:pStyle w:val="Paragraphedeliste"/>
        <w:spacing w:after="0"/>
        <w:ind w:left="360"/>
      </w:pPr>
      <w:r w:rsidRPr="003237C4">
        <w:t>- crédit vendeur sur 5,5 ans.</w:t>
      </w:r>
    </w:p>
    <w:p w:rsidR="00172504" w:rsidRDefault="00172504" w:rsidP="009171F9">
      <w:pPr>
        <w:spacing w:after="0"/>
        <w:rPr>
          <w:b/>
        </w:rPr>
      </w:pPr>
    </w:p>
    <w:p w:rsidR="00172504" w:rsidRDefault="00172504" w:rsidP="009171F9">
      <w:pPr>
        <w:spacing w:after="0"/>
        <w:rPr>
          <w:b/>
        </w:rPr>
      </w:pPr>
    </w:p>
    <w:p w:rsidR="00172504" w:rsidRDefault="00172504" w:rsidP="009171F9">
      <w:pPr>
        <w:spacing w:after="0"/>
        <w:rPr>
          <w:b/>
        </w:rPr>
      </w:pPr>
    </w:p>
    <w:p w:rsidR="00172504" w:rsidRDefault="00172504" w:rsidP="009171F9">
      <w:pPr>
        <w:spacing w:after="0"/>
        <w:rPr>
          <w:b/>
        </w:rPr>
      </w:pPr>
    </w:p>
    <w:p w:rsidR="00172504" w:rsidRDefault="00172504" w:rsidP="009171F9">
      <w:pPr>
        <w:spacing w:after="0"/>
        <w:rPr>
          <w:b/>
        </w:rPr>
      </w:pPr>
    </w:p>
    <w:p w:rsidR="00172504" w:rsidRDefault="00172504" w:rsidP="009171F9">
      <w:pPr>
        <w:spacing w:after="0"/>
        <w:rPr>
          <w:b/>
        </w:rPr>
      </w:pPr>
    </w:p>
    <w:p w:rsidR="00422408" w:rsidRDefault="00422408" w:rsidP="009171F9">
      <w:pPr>
        <w:spacing w:after="0"/>
        <w:rPr>
          <w:b/>
        </w:rPr>
      </w:pPr>
    </w:p>
    <w:p w:rsidR="001B46E3" w:rsidRDefault="009901A0" w:rsidP="009171F9">
      <w:pPr>
        <w:spacing w:after="0"/>
        <w:rPr>
          <w:b/>
        </w:rPr>
      </w:pPr>
      <w:proofErr w:type="gramStart"/>
      <w:r>
        <w:rPr>
          <w:b/>
        </w:rPr>
        <w:t>c</w:t>
      </w:r>
      <w:proofErr w:type="gramEnd"/>
      <w:r>
        <w:rPr>
          <w:b/>
        </w:rPr>
        <w:t>, Bilans</w:t>
      </w:r>
      <w:r w:rsidR="002070CF">
        <w:rPr>
          <w:b/>
        </w:rPr>
        <w:t xml:space="preserve"> « haut de fourchette » :</w:t>
      </w:r>
    </w:p>
    <w:p w:rsidR="002070CF" w:rsidRDefault="002070CF" w:rsidP="009171F9">
      <w:pPr>
        <w:spacing w:after="0"/>
        <w:rPr>
          <w:b/>
        </w:rPr>
      </w:pPr>
    </w:p>
    <w:p w:rsidR="002070CF" w:rsidRDefault="00420CE8" w:rsidP="009171F9">
      <w:pPr>
        <w:spacing w:after="0"/>
        <w:rPr>
          <w:b/>
        </w:rPr>
      </w:pPr>
      <w:r w:rsidRPr="00420CE8">
        <w:rPr>
          <w:noProof/>
          <w:lang w:eastAsia="fr-FR"/>
        </w:rPr>
        <w:drawing>
          <wp:anchor distT="0" distB="0" distL="114300" distR="114300" simplePos="0" relativeHeight="251674624" behindDoc="0" locked="0" layoutInCell="1" allowOverlap="1" wp14:anchorId="730BDD88" wp14:editId="293E93C2">
            <wp:simplePos x="0" y="0"/>
            <wp:positionH relativeFrom="column">
              <wp:posOffset>2129155</wp:posOffset>
            </wp:positionH>
            <wp:positionV relativeFrom="paragraph">
              <wp:posOffset>136525</wp:posOffset>
            </wp:positionV>
            <wp:extent cx="3724275" cy="2618105"/>
            <wp:effectExtent l="0" t="0" r="9525"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4275" cy="26181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070CF" w:rsidRPr="003237C4" w:rsidRDefault="003237C4" w:rsidP="009171F9">
      <w:pPr>
        <w:spacing w:after="0"/>
      </w:pPr>
      <w:r w:rsidRPr="003237C4">
        <w:t>Mêmes commentaires que ci-dessus.</w:t>
      </w:r>
    </w:p>
    <w:p w:rsidR="002070CF" w:rsidRDefault="002070CF" w:rsidP="009171F9">
      <w:pPr>
        <w:spacing w:after="0"/>
        <w:rPr>
          <w:b/>
        </w:rPr>
      </w:pPr>
    </w:p>
    <w:p w:rsidR="002070CF" w:rsidRDefault="002070CF" w:rsidP="009171F9">
      <w:pPr>
        <w:spacing w:after="0"/>
        <w:rPr>
          <w:b/>
        </w:rPr>
      </w:pPr>
    </w:p>
    <w:p w:rsidR="002070CF" w:rsidRDefault="002070CF" w:rsidP="009171F9">
      <w:pPr>
        <w:spacing w:after="0"/>
        <w:rPr>
          <w:b/>
        </w:rPr>
      </w:pPr>
    </w:p>
    <w:p w:rsidR="002070CF" w:rsidRDefault="002070CF" w:rsidP="009171F9">
      <w:pPr>
        <w:spacing w:after="0"/>
        <w:rPr>
          <w:b/>
        </w:rPr>
      </w:pPr>
    </w:p>
    <w:p w:rsidR="002070CF" w:rsidRDefault="002070CF" w:rsidP="009171F9">
      <w:pPr>
        <w:spacing w:after="0"/>
        <w:rPr>
          <w:b/>
        </w:rPr>
      </w:pPr>
    </w:p>
    <w:p w:rsidR="002070CF" w:rsidRDefault="002070CF" w:rsidP="009171F9">
      <w:pPr>
        <w:spacing w:after="0"/>
        <w:rPr>
          <w:b/>
        </w:rPr>
      </w:pPr>
    </w:p>
    <w:p w:rsidR="002070CF" w:rsidRDefault="002070CF" w:rsidP="009171F9">
      <w:pPr>
        <w:spacing w:after="0"/>
        <w:rPr>
          <w:b/>
        </w:rPr>
      </w:pPr>
    </w:p>
    <w:p w:rsidR="002070CF" w:rsidRDefault="002070CF" w:rsidP="009171F9">
      <w:pPr>
        <w:spacing w:after="0"/>
        <w:rPr>
          <w:b/>
        </w:rPr>
      </w:pPr>
    </w:p>
    <w:p w:rsidR="002070CF" w:rsidRDefault="002070CF" w:rsidP="009171F9">
      <w:pPr>
        <w:spacing w:after="0"/>
        <w:rPr>
          <w:b/>
        </w:rPr>
      </w:pPr>
    </w:p>
    <w:p w:rsidR="002070CF" w:rsidRDefault="002070CF" w:rsidP="009171F9">
      <w:pPr>
        <w:spacing w:after="0"/>
        <w:rPr>
          <w:b/>
        </w:rPr>
      </w:pPr>
    </w:p>
    <w:p w:rsidR="002070CF" w:rsidRDefault="002070CF" w:rsidP="009171F9">
      <w:pPr>
        <w:spacing w:after="0"/>
        <w:rPr>
          <w:b/>
        </w:rPr>
      </w:pPr>
    </w:p>
    <w:p w:rsidR="00422408" w:rsidRDefault="00422408">
      <w:pPr>
        <w:rPr>
          <w:b/>
        </w:rPr>
      </w:pPr>
      <w:r>
        <w:rPr>
          <w:b/>
        </w:rPr>
        <w:br w:type="page"/>
      </w:r>
    </w:p>
    <w:p w:rsidR="002070CF" w:rsidRDefault="002070CF" w:rsidP="009171F9">
      <w:pPr>
        <w:spacing w:after="0"/>
        <w:rPr>
          <w:b/>
        </w:rPr>
      </w:pPr>
    </w:p>
    <w:p w:rsidR="002070CF" w:rsidRDefault="00526997" w:rsidP="009171F9">
      <w:pPr>
        <w:spacing w:after="0"/>
        <w:rPr>
          <w:b/>
        </w:rPr>
      </w:pPr>
      <w:r>
        <w:rPr>
          <w:b/>
        </w:rPr>
        <w:t>4/ Analyse de rentabilité pour les actionnaires :</w:t>
      </w:r>
    </w:p>
    <w:p w:rsidR="002070CF" w:rsidRDefault="002070CF" w:rsidP="009171F9">
      <w:pPr>
        <w:spacing w:after="0"/>
        <w:rPr>
          <w:b/>
        </w:rPr>
      </w:pPr>
    </w:p>
    <w:p w:rsidR="002070CF" w:rsidRPr="004C1E3A" w:rsidRDefault="004C1E3A" w:rsidP="009171F9">
      <w:pPr>
        <w:spacing w:after="0"/>
      </w:pPr>
      <w:r w:rsidRPr="004C1E3A">
        <w:rPr>
          <w:noProof/>
          <w:lang w:eastAsia="fr-FR"/>
        </w:rPr>
        <w:drawing>
          <wp:anchor distT="0" distB="0" distL="114300" distR="114300" simplePos="0" relativeHeight="251669504" behindDoc="0" locked="0" layoutInCell="1" allowOverlap="1" wp14:anchorId="57DF20E7" wp14:editId="25FE1DAE">
            <wp:simplePos x="0" y="0"/>
            <wp:positionH relativeFrom="column">
              <wp:posOffset>2519680</wp:posOffset>
            </wp:positionH>
            <wp:positionV relativeFrom="paragraph">
              <wp:posOffset>21590</wp:posOffset>
            </wp:positionV>
            <wp:extent cx="3725545" cy="1468755"/>
            <wp:effectExtent l="0" t="0" r="825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25545" cy="1468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1E3A">
        <w:t>Le tableau ci-contre présente le calcul de Taux de Rentabilité Interne du projet, haut</w:t>
      </w:r>
      <w:r>
        <w:t xml:space="preserve"> et bas de fourchette, pour l’ensemble des actionnaires.</w:t>
      </w:r>
    </w:p>
    <w:p w:rsidR="002070CF" w:rsidRPr="004C1E3A" w:rsidRDefault="004C1E3A" w:rsidP="009171F9">
      <w:pPr>
        <w:spacing w:after="0"/>
      </w:pPr>
      <w:r w:rsidRPr="004C1E3A">
        <w:t>Le scénario retenu est que l’apport des fonds est fait au 1</w:t>
      </w:r>
      <w:r w:rsidRPr="004C1E3A">
        <w:rPr>
          <w:vertAlign w:val="superscript"/>
        </w:rPr>
        <w:t>er</w:t>
      </w:r>
      <w:r w:rsidRPr="004C1E3A">
        <w:t xml:space="preserve"> janvier 2012 et la sortie </w:t>
      </w:r>
      <w:proofErr w:type="gramStart"/>
      <w:r w:rsidRPr="004C1E3A">
        <w:t>a</w:t>
      </w:r>
      <w:proofErr w:type="gramEnd"/>
      <w:r w:rsidRPr="004C1E3A">
        <w:t xml:space="preserve"> lieu au 1</w:t>
      </w:r>
      <w:r w:rsidRPr="004C1E3A">
        <w:rPr>
          <w:vertAlign w:val="superscript"/>
        </w:rPr>
        <w:t>er</w:t>
      </w:r>
      <w:r w:rsidRPr="004C1E3A">
        <w:t xml:space="preserve"> janvier 2017.</w:t>
      </w:r>
    </w:p>
    <w:p w:rsidR="002070CF" w:rsidRDefault="002070CF" w:rsidP="009171F9">
      <w:pPr>
        <w:spacing w:after="0"/>
        <w:rPr>
          <w:b/>
        </w:rPr>
      </w:pPr>
    </w:p>
    <w:p w:rsidR="002070CF" w:rsidRDefault="002070CF" w:rsidP="009171F9">
      <w:pPr>
        <w:spacing w:after="0"/>
        <w:rPr>
          <w:b/>
        </w:rPr>
      </w:pPr>
    </w:p>
    <w:p w:rsidR="002070CF" w:rsidRPr="004C1E3A" w:rsidRDefault="004C1E3A" w:rsidP="009171F9">
      <w:pPr>
        <w:spacing w:after="0"/>
      </w:pPr>
      <w:r w:rsidRPr="004C1E3A">
        <w:t>Voici les hypothèses de valeur terminale</w:t>
      </w:r>
      <w:r w:rsidR="002568CA">
        <w:t xml:space="preserve"> de 100% des titres de propriété</w:t>
      </w:r>
      <w:r w:rsidRPr="004C1E3A">
        <w:t> :</w:t>
      </w:r>
    </w:p>
    <w:p w:rsidR="002070CF" w:rsidRDefault="002568CA" w:rsidP="009171F9">
      <w:pPr>
        <w:spacing w:after="0"/>
        <w:rPr>
          <w:b/>
        </w:rPr>
      </w:pPr>
      <w:r w:rsidRPr="002568CA">
        <w:rPr>
          <w:noProof/>
          <w:lang w:eastAsia="fr-FR"/>
        </w:rPr>
        <w:drawing>
          <wp:anchor distT="0" distB="0" distL="114300" distR="114300" simplePos="0" relativeHeight="251670528" behindDoc="0" locked="0" layoutInCell="1" allowOverlap="1" wp14:anchorId="40EA2590" wp14:editId="71AFE9F0">
            <wp:simplePos x="0" y="0"/>
            <wp:positionH relativeFrom="column">
              <wp:posOffset>3764915</wp:posOffset>
            </wp:positionH>
            <wp:positionV relativeFrom="paragraph">
              <wp:posOffset>28575</wp:posOffset>
            </wp:positionV>
            <wp:extent cx="1781810" cy="982345"/>
            <wp:effectExtent l="0" t="0" r="8890" b="8255"/>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81810" cy="9823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070CF" w:rsidRPr="002568CA" w:rsidRDefault="002568CA" w:rsidP="009171F9">
      <w:pPr>
        <w:spacing w:after="0"/>
      </w:pPr>
      <w:r w:rsidRPr="002568CA">
        <w:t>La formule appliquée est :</w:t>
      </w:r>
    </w:p>
    <w:p w:rsidR="002070CF" w:rsidRPr="002568CA" w:rsidRDefault="002568CA" w:rsidP="009171F9">
      <w:pPr>
        <w:pBdr>
          <w:bottom w:val="single" w:sz="12" w:space="1" w:color="auto"/>
        </w:pBdr>
        <w:spacing w:after="0"/>
        <w:rPr>
          <w:b/>
        </w:rPr>
      </w:pPr>
      <w:r w:rsidRPr="002568CA">
        <w:rPr>
          <w:b/>
        </w:rPr>
        <w:t>Valeur terminal</w:t>
      </w:r>
      <w:r>
        <w:rPr>
          <w:b/>
        </w:rPr>
        <w:t>e = multiple</w:t>
      </w:r>
      <w:r w:rsidRPr="002568CA">
        <w:rPr>
          <w:b/>
        </w:rPr>
        <w:t xml:space="preserve"> X EBIT moins dettes portant intér</w:t>
      </w:r>
      <w:r>
        <w:rPr>
          <w:b/>
        </w:rPr>
        <w:t>êt plus</w:t>
      </w:r>
      <w:r w:rsidRPr="002568CA">
        <w:rPr>
          <w:b/>
        </w:rPr>
        <w:t xml:space="preserve"> disponibilités en caisse.</w:t>
      </w:r>
    </w:p>
    <w:p w:rsidR="002568CA" w:rsidRDefault="002568CA" w:rsidP="009171F9">
      <w:pPr>
        <w:pBdr>
          <w:bottom w:val="single" w:sz="12" w:space="1" w:color="auto"/>
        </w:pBdr>
        <w:spacing w:after="0"/>
      </w:pPr>
    </w:p>
    <w:p w:rsidR="002568CA" w:rsidRDefault="002568CA" w:rsidP="009171F9">
      <w:pPr>
        <w:pBdr>
          <w:bottom w:val="single" w:sz="12" w:space="1" w:color="auto"/>
        </w:pBdr>
        <w:spacing w:after="0"/>
      </w:pPr>
    </w:p>
    <w:p w:rsidR="002568CA" w:rsidRDefault="002568CA" w:rsidP="009171F9">
      <w:pPr>
        <w:pBdr>
          <w:bottom w:val="single" w:sz="12" w:space="1" w:color="auto"/>
        </w:pBdr>
        <w:spacing w:after="0"/>
      </w:pPr>
    </w:p>
    <w:p w:rsidR="003237C4" w:rsidRPr="002568CA" w:rsidRDefault="003237C4" w:rsidP="009171F9">
      <w:pPr>
        <w:pBdr>
          <w:bottom w:val="single" w:sz="12" w:space="1" w:color="auto"/>
        </w:pBdr>
        <w:spacing w:after="0"/>
      </w:pPr>
    </w:p>
    <w:p w:rsidR="002568CA" w:rsidRPr="003237C4" w:rsidRDefault="003237C4" w:rsidP="009171F9">
      <w:pPr>
        <w:spacing w:after="0"/>
      </w:pPr>
      <w:r w:rsidRPr="003237C4">
        <w:t>Jean Saint-</w:t>
      </w:r>
      <w:proofErr w:type="spellStart"/>
      <w:r w:rsidRPr="003237C4">
        <w:t>Cricq</w:t>
      </w:r>
      <w:proofErr w:type="spellEnd"/>
      <w:r w:rsidRPr="003237C4">
        <w:t xml:space="preserve"> – Automne 2011</w:t>
      </w:r>
    </w:p>
    <w:p w:rsidR="003237C4" w:rsidRDefault="003237C4">
      <w:pPr>
        <w:rPr>
          <w:b/>
        </w:rPr>
      </w:pPr>
      <w:r>
        <w:rPr>
          <w:b/>
        </w:rPr>
        <w:br w:type="page"/>
      </w:r>
    </w:p>
    <w:p w:rsidR="004C1E3A" w:rsidRDefault="004C1E3A">
      <w:pPr>
        <w:rPr>
          <w:b/>
        </w:rPr>
      </w:pPr>
    </w:p>
    <w:p w:rsidR="002070CF" w:rsidRDefault="004C1E3A" w:rsidP="004C1E3A">
      <w:pPr>
        <w:pBdr>
          <w:bottom w:val="single" w:sz="12" w:space="1" w:color="auto"/>
        </w:pBdr>
        <w:spacing w:after="0"/>
        <w:jc w:val="center"/>
        <w:rPr>
          <w:b/>
        </w:rPr>
      </w:pPr>
      <w:r>
        <w:rPr>
          <w:b/>
        </w:rPr>
        <w:t>ANNEXE</w:t>
      </w:r>
    </w:p>
    <w:p w:rsidR="004C1E3A" w:rsidRDefault="004C1E3A" w:rsidP="004C1E3A">
      <w:pPr>
        <w:spacing w:after="0"/>
        <w:jc w:val="center"/>
        <w:rPr>
          <w:b/>
        </w:rPr>
      </w:pPr>
    </w:p>
    <w:p w:rsidR="00DB45E4" w:rsidRDefault="00C21ADC" w:rsidP="004C1E3A">
      <w:pPr>
        <w:spacing w:after="0"/>
        <w:jc w:val="center"/>
        <w:rPr>
          <w:b/>
        </w:rPr>
      </w:pPr>
      <w:r w:rsidRPr="00C21ADC">
        <w:rPr>
          <w:noProof/>
          <w:lang w:eastAsia="fr-FR"/>
        </w:rPr>
        <w:drawing>
          <wp:inline distT="0" distB="0" distL="0" distR="0" wp14:anchorId="49B15FBE" wp14:editId="34B2E54C">
            <wp:extent cx="5760720" cy="8036204"/>
            <wp:effectExtent l="0" t="0" r="0" b="317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8036204"/>
                    </a:xfrm>
                    <a:prstGeom prst="rect">
                      <a:avLst/>
                    </a:prstGeom>
                    <a:noFill/>
                    <a:ln>
                      <a:noFill/>
                    </a:ln>
                  </pic:spPr>
                </pic:pic>
              </a:graphicData>
            </a:graphic>
          </wp:inline>
        </w:drawing>
      </w:r>
    </w:p>
    <w:sectPr w:rsidR="00DB45E4">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C8D" w:rsidRDefault="00E65C8D" w:rsidP="00310D83">
      <w:pPr>
        <w:spacing w:after="0" w:line="240" w:lineRule="auto"/>
      </w:pPr>
      <w:r>
        <w:separator/>
      </w:r>
    </w:p>
  </w:endnote>
  <w:endnote w:type="continuationSeparator" w:id="0">
    <w:p w:rsidR="00E65C8D" w:rsidRDefault="00E65C8D" w:rsidP="00310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691199"/>
      <w:docPartObj>
        <w:docPartGallery w:val="Page Numbers (Bottom of Page)"/>
        <w:docPartUnique/>
      </w:docPartObj>
    </w:sdtPr>
    <w:sdtEndPr/>
    <w:sdtContent>
      <w:p w:rsidR="00310D83" w:rsidRDefault="00310D83">
        <w:pPr>
          <w:pStyle w:val="Pieddepage"/>
        </w:pPr>
        <w:r>
          <w:rPr>
            <w:noProof/>
            <w:lang w:eastAsia="fr-FR"/>
          </w:rPr>
          <mc:AlternateContent>
            <mc:Choice Requires="wpg">
              <w:drawing>
                <wp:anchor distT="0" distB="0" distL="114300" distR="114300" simplePos="0" relativeHeight="251659264" behindDoc="0" locked="0" layoutInCell="1" allowOverlap="1" wp14:anchorId="23CA2728" wp14:editId="1D4CE7F3">
                  <wp:simplePos x="0" y="0"/>
                  <wp:positionH relativeFrom="margin">
                    <wp:align>right</wp:align>
                  </wp:positionH>
                  <wp:positionV relativeFrom="page">
                    <wp:align>bottom</wp:align>
                  </wp:positionV>
                  <wp:extent cx="436880" cy="716915"/>
                  <wp:effectExtent l="8255" t="9525" r="12065" b="6985"/>
                  <wp:wrapNone/>
                  <wp:docPr id="625"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310D83" w:rsidRDefault="00310D83">
                                <w:pPr>
                                  <w:pStyle w:val="Pieddepage"/>
                                  <w:jc w:val="center"/>
                                  <w:rPr>
                                    <w:sz w:val="16"/>
                                    <w:szCs w:val="16"/>
                                  </w:rPr>
                                </w:pPr>
                                <w:r>
                                  <w:rPr>
                                    <w:szCs w:val="21"/>
                                  </w:rPr>
                                  <w:fldChar w:fldCharType="begin"/>
                                </w:r>
                                <w:r>
                                  <w:instrText>PAGE    \* MERGEFORMAT</w:instrText>
                                </w:r>
                                <w:r>
                                  <w:rPr>
                                    <w:szCs w:val="21"/>
                                  </w:rPr>
                                  <w:fldChar w:fldCharType="separate"/>
                                </w:r>
                                <w:r w:rsidR="00E42B8D" w:rsidRPr="00E42B8D">
                                  <w:rPr>
                                    <w:noProof/>
                                    <w:sz w:val="16"/>
                                    <w:szCs w:val="16"/>
                                  </w:rPr>
                                  <w:t>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80"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mE8YA&#10;AADcAAAADwAAAGRycy9kb3ducmV2LnhtbESPQWvCQBSE7wX/w/KE3upGD7ZGV5HYQqEXq6Xa2yP7&#10;mo3Jvg3ZbRL/fbcg9DjMzDfMajPYWnTU+tKxgukkAUGcO11yoeDj+PLwBMIHZI21Y1JwJQ+b9ehu&#10;hal2Pb9TdwiFiBD2KSowITSplD43ZNFPXEMcvW/XWgxRtoXULfYRbms5S5K5tFhyXDDYUGYorw4/&#10;VkFldpfnt+qanfmzy0770C++Tnul7sfDdgki0BD+w7f2q1Ywnz3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mE8YAAADcAAAADwAAAAAAAAAAAAAAAACYAgAAZHJz&#10;L2Rvd25yZXYueG1sUEsFBgAAAAAEAAQA9QAAAIsDAAAAAA==&#10;" filled="f" strokecolor="#7f7f7f">
                    <v:textbox>
                      <w:txbxContent>
                        <w:p w:rsidR="00310D83" w:rsidRDefault="00310D83">
                          <w:pPr>
                            <w:pStyle w:val="Pieddepage"/>
                            <w:jc w:val="center"/>
                            <w:rPr>
                              <w:sz w:val="16"/>
                              <w:szCs w:val="16"/>
                            </w:rPr>
                          </w:pPr>
                          <w:r>
                            <w:rPr>
                              <w:szCs w:val="21"/>
                            </w:rPr>
                            <w:fldChar w:fldCharType="begin"/>
                          </w:r>
                          <w:r>
                            <w:instrText>PAGE    \* MERGEFORMAT</w:instrText>
                          </w:r>
                          <w:r>
                            <w:rPr>
                              <w:szCs w:val="21"/>
                            </w:rPr>
                            <w:fldChar w:fldCharType="separate"/>
                          </w:r>
                          <w:r w:rsidR="00E42B8D" w:rsidRPr="00E42B8D">
                            <w:rPr>
                              <w:noProof/>
                              <w:sz w:val="16"/>
                              <w:szCs w:val="16"/>
                            </w:rPr>
                            <w:t>1</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C8D" w:rsidRDefault="00E65C8D" w:rsidP="00310D83">
      <w:pPr>
        <w:spacing w:after="0" w:line="240" w:lineRule="auto"/>
      </w:pPr>
      <w:r>
        <w:separator/>
      </w:r>
    </w:p>
  </w:footnote>
  <w:footnote w:type="continuationSeparator" w:id="0">
    <w:p w:rsidR="00E65C8D" w:rsidRDefault="00E65C8D" w:rsidP="00310D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D0003"/>
    <w:multiLevelType w:val="hybridMultilevel"/>
    <w:tmpl w:val="0272411A"/>
    <w:lvl w:ilvl="0" w:tplc="D08AEAC4">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0B5B16"/>
    <w:multiLevelType w:val="hybridMultilevel"/>
    <w:tmpl w:val="867A56CA"/>
    <w:lvl w:ilvl="0" w:tplc="BD70F3EE">
      <w:start w:val="4"/>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F0F366F"/>
    <w:multiLevelType w:val="hybridMultilevel"/>
    <w:tmpl w:val="E442471A"/>
    <w:lvl w:ilvl="0" w:tplc="4A1A2C88">
      <w:start w:val="4"/>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0DC3FA1"/>
    <w:multiLevelType w:val="hybridMultilevel"/>
    <w:tmpl w:val="FC923634"/>
    <w:lvl w:ilvl="0" w:tplc="7898DF32">
      <w:start w:val="3"/>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4AED1967"/>
    <w:multiLevelType w:val="hybridMultilevel"/>
    <w:tmpl w:val="2BD29B86"/>
    <w:lvl w:ilvl="0" w:tplc="D704778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86F5754"/>
    <w:multiLevelType w:val="hybridMultilevel"/>
    <w:tmpl w:val="881AB100"/>
    <w:lvl w:ilvl="0" w:tplc="D0389C94">
      <w:start w:val="4"/>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605E36D9"/>
    <w:multiLevelType w:val="hybridMultilevel"/>
    <w:tmpl w:val="CB6A2A2E"/>
    <w:lvl w:ilvl="0" w:tplc="A142DA8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66F92523"/>
    <w:multiLevelType w:val="hybridMultilevel"/>
    <w:tmpl w:val="3FF28398"/>
    <w:lvl w:ilvl="0" w:tplc="B268F4F6">
      <w:start w:val="4"/>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67031B14"/>
    <w:multiLevelType w:val="hybridMultilevel"/>
    <w:tmpl w:val="144883E8"/>
    <w:lvl w:ilvl="0" w:tplc="4120F9DC">
      <w:start w:val="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7A4C0A1E"/>
    <w:multiLevelType w:val="hybridMultilevel"/>
    <w:tmpl w:val="FB72DB94"/>
    <w:lvl w:ilvl="0" w:tplc="6AF6EAE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8"/>
  </w:num>
  <w:num w:numId="6">
    <w:abstractNumId w:val="5"/>
  </w:num>
  <w:num w:numId="7">
    <w:abstractNumId w:val="1"/>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937"/>
    <w:rsid w:val="00001DA7"/>
    <w:rsid w:val="0001137C"/>
    <w:rsid w:val="000B686D"/>
    <w:rsid w:val="000D3D42"/>
    <w:rsid w:val="00172504"/>
    <w:rsid w:val="00177F9E"/>
    <w:rsid w:val="001858C1"/>
    <w:rsid w:val="001B46E3"/>
    <w:rsid w:val="002070CF"/>
    <w:rsid w:val="002568CA"/>
    <w:rsid w:val="0027237E"/>
    <w:rsid w:val="002D6F29"/>
    <w:rsid w:val="00310D83"/>
    <w:rsid w:val="003237C4"/>
    <w:rsid w:val="00333DA4"/>
    <w:rsid w:val="00336738"/>
    <w:rsid w:val="00356E8D"/>
    <w:rsid w:val="003D393B"/>
    <w:rsid w:val="00420CE8"/>
    <w:rsid w:val="004216E7"/>
    <w:rsid w:val="00422408"/>
    <w:rsid w:val="00451628"/>
    <w:rsid w:val="00472182"/>
    <w:rsid w:val="004C1E3A"/>
    <w:rsid w:val="004E2568"/>
    <w:rsid w:val="00526997"/>
    <w:rsid w:val="005A4F53"/>
    <w:rsid w:val="005E2FA1"/>
    <w:rsid w:val="005E60B6"/>
    <w:rsid w:val="005F2EED"/>
    <w:rsid w:val="0060599C"/>
    <w:rsid w:val="00620DB6"/>
    <w:rsid w:val="00625796"/>
    <w:rsid w:val="006D1C9F"/>
    <w:rsid w:val="006F53D5"/>
    <w:rsid w:val="00707204"/>
    <w:rsid w:val="00767E05"/>
    <w:rsid w:val="00767FCA"/>
    <w:rsid w:val="007A6782"/>
    <w:rsid w:val="0081359E"/>
    <w:rsid w:val="00822FA9"/>
    <w:rsid w:val="00850EFB"/>
    <w:rsid w:val="0085183F"/>
    <w:rsid w:val="00854009"/>
    <w:rsid w:val="00902E0B"/>
    <w:rsid w:val="009171F9"/>
    <w:rsid w:val="00952C03"/>
    <w:rsid w:val="009631D7"/>
    <w:rsid w:val="009901A0"/>
    <w:rsid w:val="009A0937"/>
    <w:rsid w:val="00A06A82"/>
    <w:rsid w:val="00A6688E"/>
    <w:rsid w:val="00A735B2"/>
    <w:rsid w:val="00A76806"/>
    <w:rsid w:val="00AC6FE9"/>
    <w:rsid w:val="00AE7262"/>
    <w:rsid w:val="00BE4D48"/>
    <w:rsid w:val="00C21ADC"/>
    <w:rsid w:val="00C46738"/>
    <w:rsid w:val="00D23E1F"/>
    <w:rsid w:val="00DB45E4"/>
    <w:rsid w:val="00DD5765"/>
    <w:rsid w:val="00DE2A97"/>
    <w:rsid w:val="00DE6846"/>
    <w:rsid w:val="00E16C83"/>
    <w:rsid w:val="00E42B8D"/>
    <w:rsid w:val="00E42F1C"/>
    <w:rsid w:val="00E65C8D"/>
    <w:rsid w:val="00E66FBF"/>
    <w:rsid w:val="00EB7375"/>
    <w:rsid w:val="00EC5E4A"/>
    <w:rsid w:val="00F3716E"/>
    <w:rsid w:val="00F41376"/>
    <w:rsid w:val="00F81129"/>
    <w:rsid w:val="00FA79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072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7204"/>
    <w:rPr>
      <w:rFonts w:ascii="Tahoma" w:hAnsi="Tahoma" w:cs="Tahoma"/>
      <w:sz w:val="16"/>
      <w:szCs w:val="16"/>
    </w:rPr>
  </w:style>
  <w:style w:type="paragraph" w:styleId="En-tte">
    <w:name w:val="header"/>
    <w:basedOn w:val="Normal"/>
    <w:link w:val="En-tteCar"/>
    <w:uiPriority w:val="99"/>
    <w:unhideWhenUsed/>
    <w:rsid w:val="00310D83"/>
    <w:pPr>
      <w:tabs>
        <w:tab w:val="center" w:pos="4536"/>
        <w:tab w:val="right" w:pos="9072"/>
      </w:tabs>
      <w:spacing w:after="0" w:line="240" w:lineRule="auto"/>
    </w:pPr>
  </w:style>
  <w:style w:type="character" w:customStyle="1" w:styleId="En-tteCar">
    <w:name w:val="En-tête Car"/>
    <w:basedOn w:val="Policepardfaut"/>
    <w:link w:val="En-tte"/>
    <w:uiPriority w:val="99"/>
    <w:rsid w:val="00310D83"/>
  </w:style>
  <w:style w:type="paragraph" w:styleId="Pieddepage">
    <w:name w:val="footer"/>
    <w:basedOn w:val="Normal"/>
    <w:link w:val="PieddepageCar"/>
    <w:uiPriority w:val="99"/>
    <w:unhideWhenUsed/>
    <w:rsid w:val="00310D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0D83"/>
  </w:style>
  <w:style w:type="paragraph" w:styleId="Paragraphedeliste">
    <w:name w:val="List Paragraph"/>
    <w:basedOn w:val="Normal"/>
    <w:uiPriority w:val="34"/>
    <w:qFormat/>
    <w:rsid w:val="006257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072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7204"/>
    <w:rPr>
      <w:rFonts w:ascii="Tahoma" w:hAnsi="Tahoma" w:cs="Tahoma"/>
      <w:sz w:val="16"/>
      <w:szCs w:val="16"/>
    </w:rPr>
  </w:style>
  <w:style w:type="paragraph" w:styleId="En-tte">
    <w:name w:val="header"/>
    <w:basedOn w:val="Normal"/>
    <w:link w:val="En-tteCar"/>
    <w:uiPriority w:val="99"/>
    <w:unhideWhenUsed/>
    <w:rsid w:val="00310D83"/>
    <w:pPr>
      <w:tabs>
        <w:tab w:val="center" w:pos="4536"/>
        <w:tab w:val="right" w:pos="9072"/>
      </w:tabs>
      <w:spacing w:after="0" w:line="240" w:lineRule="auto"/>
    </w:pPr>
  </w:style>
  <w:style w:type="character" w:customStyle="1" w:styleId="En-tteCar">
    <w:name w:val="En-tête Car"/>
    <w:basedOn w:val="Policepardfaut"/>
    <w:link w:val="En-tte"/>
    <w:uiPriority w:val="99"/>
    <w:rsid w:val="00310D83"/>
  </w:style>
  <w:style w:type="paragraph" w:styleId="Pieddepage">
    <w:name w:val="footer"/>
    <w:basedOn w:val="Normal"/>
    <w:link w:val="PieddepageCar"/>
    <w:uiPriority w:val="99"/>
    <w:unhideWhenUsed/>
    <w:rsid w:val="00310D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0D83"/>
  </w:style>
  <w:style w:type="paragraph" w:styleId="Paragraphedeliste">
    <w:name w:val="List Paragraph"/>
    <w:basedOn w:val="Normal"/>
    <w:uiPriority w:val="34"/>
    <w:qFormat/>
    <w:rsid w:val="00625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1928">
      <w:bodyDiv w:val="1"/>
      <w:marLeft w:val="0"/>
      <w:marRight w:val="0"/>
      <w:marTop w:val="0"/>
      <w:marBottom w:val="0"/>
      <w:divBdr>
        <w:top w:val="none" w:sz="0" w:space="0" w:color="auto"/>
        <w:left w:val="none" w:sz="0" w:space="0" w:color="auto"/>
        <w:bottom w:val="none" w:sz="0" w:space="0" w:color="auto"/>
        <w:right w:val="none" w:sz="0" w:space="0" w:color="auto"/>
      </w:divBdr>
    </w:div>
    <w:div w:id="742995628">
      <w:bodyDiv w:val="1"/>
      <w:marLeft w:val="0"/>
      <w:marRight w:val="0"/>
      <w:marTop w:val="0"/>
      <w:marBottom w:val="0"/>
      <w:divBdr>
        <w:top w:val="none" w:sz="0" w:space="0" w:color="auto"/>
        <w:left w:val="none" w:sz="0" w:space="0" w:color="auto"/>
        <w:bottom w:val="none" w:sz="0" w:space="0" w:color="auto"/>
        <w:right w:val="none" w:sz="0" w:space="0" w:color="auto"/>
      </w:divBdr>
    </w:div>
    <w:div w:id="141879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9</Pages>
  <Words>1612</Words>
  <Characters>8870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SAINT-CRICQ</dc:creator>
  <cp:lastModifiedBy>Jean SAINT-CRICQ</cp:lastModifiedBy>
  <cp:revision>67</cp:revision>
  <cp:lastPrinted>2011-12-08T08:44:00Z</cp:lastPrinted>
  <dcterms:created xsi:type="dcterms:W3CDTF">2011-12-06T12:30:00Z</dcterms:created>
  <dcterms:modified xsi:type="dcterms:W3CDTF">2011-12-08T08:56:00Z</dcterms:modified>
</cp:coreProperties>
</file>