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A" w:rsidRDefault="004B1CB8" w:rsidP="004B1CB8">
      <w:pPr>
        <w:jc w:val="center"/>
        <w:rPr>
          <w:u w:val="single"/>
        </w:rPr>
      </w:pPr>
      <w:r w:rsidRPr="004B1CB8">
        <w:rPr>
          <w:u w:val="single"/>
        </w:rPr>
        <w:t>Négoce des Composants électroniques en France</w:t>
      </w:r>
      <w:r>
        <w:rPr>
          <w:u w:val="single"/>
        </w:rPr>
        <w:t>: source</w:t>
      </w:r>
      <w:r w:rsidR="004A18CC" w:rsidRPr="004B1CB8">
        <w:rPr>
          <w:u w:val="single"/>
        </w:rPr>
        <w:t xml:space="preserve"> </w:t>
      </w:r>
      <w:proofErr w:type="spellStart"/>
      <w:r w:rsidR="002C4286" w:rsidRPr="004B1CB8">
        <w:rPr>
          <w:u w:val="single"/>
        </w:rPr>
        <w:t>Xerfi</w:t>
      </w:r>
      <w:proofErr w:type="spellEnd"/>
      <w:r w:rsidR="002C4286" w:rsidRPr="004B1CB8">
        <w:rPr>
          <w:u w:val="single"/>
        </w:rPr>
        <w:t xml:space="preserve"> 07 2010</w:t>
      </w:r>
    </w:p>
    <w:p w:rsidR="0019352D" w:rsidRDefault="0019352D" w:rsidP="004B1CB8">
      <w:pPr>
        <w:jc w:val="center"/>
        <w:rPr>
          <w:u w:val="single"/>
        </w:rPr>
      </w:pPr>
    </w:p>
    <w:p w:rsidR="0019352D" w:rsidRPr="0019352D" w:rsidRDefault="0019352D" w:rsidP="0019352D">
      <w:pPr>
        <w:rPr>
          <w:b/>
        </w:rPr>
      </w:pPr>
      <w:r w:rsidRPr="0019352D">
        <w:rPr>
          <w:b/>
        </w:rPr>
        <w:t xml:space="preserve">Plan </w:t>
      </w:r>
    </w:p>
    <w:p w:rsidR="0019352D" w:rsidRPr="00C82569" w:rsidRDefault="0019352D" w:rsidP="0019352D">
      <w:r w:rsidRPr="00C82569">
        <w:t>Evolution du CA en % du secteur des Composants électroniques</w:t>
      </w:r>
    </w:p>
    <w:p w:rsidR="0019352D" w:rsidRPr="00C82569" w:rsidRDefault="0019352D" w:rsidP="0019352D">
      <w:r w:rsidRPr="00C82569">
        <w:t>Acteurs du négoce des Composants électroniques en France</w:t>
      </w:r>
    </w:p>
    <w:p w:rsidR="0019352D" w:rsidRPr="00C82569" w:rsidRDefault="0019352D" w:rsidP="0019352D">
      <w:r w:rsidRPr="00C82569">
        <w:t>Forts taux de valeur ajoutée</w:t>
      </w:r>
    </w:p>
    <w:p w:rsidR="0019352D" w:rsidRPr="00C82569" w:rsidRDefault="0019352D" w:rsidP="0019352D">
      <w:r w:rsidRPr="00C82569">
        <w:t>Domaines d’activité clients des négociants</w:t>
      </w:r>
    </w:p>
    <w:p w:rsidR="0019352D" w:rsidRPr="00C82569" w:rsidRDefault="0019352D" w:rsidP="0019352D">
      <w:r w:rsidRPr="00C82569">
        <w:t>Débouchés en PDM </w:t>
      </w:r>
    </w:p>
    <w:p w:rsidR="0019352D" w:rsidRPr="00C82569" w:rsidRDefault="0019352D" w:rsidP="0019352D">
      <w:r w:rsidRPr="00C82569">
        <w:t>Vente directe/grossistes</w:t>
      </w:r>
    </w:p>
    <w:p w:rsidR="0019352D" w:rsidRPr="00C82569" w:rsidRDefault="0019352D" w:rsidP="0019352D">
      <w:r w:rsidRPr="00C82569">
        <w:t>Freins et facteurs du marché en 2010</w:t>
      </w:r>
    </w:p>
    <w:p w:rsidR="0019352D" w:rsidRPr="00C82569" w:rsidRDefault="0019352D" w:rsidP="0019352D">
      <w:r w:rsidRPr="00C82569">
        <w:t>Chiffres moyens du secteur du négoce de composants électroniques</w:t>
      </w:r>
    </w:p>
    <w:p w:rsidR="0019352D" w:rsidRPr="00C82569" w:rsidRDefault="0019352D" w:rsidP="0019352D"/>
    <w:p w:rsidR="000A328C" w:rsidRPr="0019352D" w:rsidRDefault="004B1CB8">
      <w:pPr>
        <w:rPr>
          <w:b/>
        </w:rPr>
      </w:pPr>
      <w:r w:rsidRPr="0019352D">
        <w:rPr>
          <w:b/>
        </w:rPr>
        <w:t xml:space="preserve">Evolution du </w:t>
      </w:r>
      <w:r w:rsidR="000A328C" w:rsidRPr="0019352D">
        <w:rPr>
          <w:b/>
        </w:rPr>
        <w:t xml:space="preserve">CA </w:t>
      </w:r>
      <w:r w:rsidRPr="0019352D">
        <w:rPr>
          <w:b/>
        </w:rPr>
        <w:t xml:space="preserve">en % </w:t>
      </w:r>
      <w:r w:rsidR="000A328C" w:rsidRPr="0019352D">
        <w:rPr>
          <w:b/>
        </w:rPr>
        <w:t>du secteur</w:t>
      </w:r>
      <w:r w:rsidRPr="0019352D">
        <w:rPr>
          <w:b/>
        </w:rPr>
        <w:t xml:space="preserve"> des Composants électroniques</w:t>
      </w:r>
    </w:p>
    <w:tbl>
      <w:tblPr>
        <w:tblStyle w:val="Grilledutableau"/>
        <w:tblW w:w="0" w:type="auto"/>
        <w:tblLook w:val="04A0"/>
      </w:tblPr>
      <w:tblGrid>
        <w:gridCol w:w="1101"/>
        <w:gridCol w:w="850"/>
        <w:gridCol w:w="760"/>
        <w:gridCol w:w="938"/>
        <w:gridCol w:w="939"/>
        <w:gridCol w:w="940"/>
        <w:gridCol w:w="940"/>
        <w:gridCol w:w="940"/>
        <w:gridCol w:w="940"/>
        <w:gridCol w:w="940"/>
      </w:tblGrid>
      <w:tr w:rsidR="000A328C" w:rsidTr="006817E5">
        <w:tc>
          <w:tcPr>
            <w:tcW w:w="1101" w:type="dxa"/>
          </w:tcPr>
          <w:p w:rsidR="000A328C" w:rsidRDefault="000A328C"/>
        </w:tc>
        <w:tc>
          <w:tcPr>
            <w:tcW w:w="850" w:type="dxa"/>
          </w:tcPr>
          <w:p w:rsidR="000A328C" w:rsidRDefault="000A328C">
            <w:r>
              <w:t>2003</w:t>
            </w:r>
          </w:p>
        </w:tc>
        <w:tc>
          <w:tcPr>
            <w:tcW w:w="760" w:type="dxa"/>
          </w:tcPr>
          <w:p w:rsidR="000A328C" w:rsidRDefault="000A328C">
            <w:r>
              <w:t>2004</w:t>
            </w:r>
          </w:p>
        </w:tc>
        <w:tc>
          <w:tcPr>
            <w:tcW w:w="938" w:type="dxa"/>
          </w:tcPr>
          <w:p w:rsidR="000A328C" w:rsidRDefault="000A328C">
            <w:r>
              <w:t>2005</w:t>
            </w:r>
          </w:p>
        </w:tc>
        <w:tc>
          <w:tcPr>
            <w:tcW w:w="939" w:type="dxa"/>
          </w:tcPr>
          <w:p w:rsidR="000A328C" w:rsidRDefault="000A328C">
            <w:r>
              <w:t>2006</w:t>
            </w:r>
          </w:p>
        </w:tc>
        <w:tc>
          <w:tcPr>
            <w:tcW w:w="940" w:type="dxa"/>
          </w:tcPr>
          <w:p w:rsidR="000A328C" w:rsidRDefault="000A328C">
            <w:r>
              <w:t>2007</w:t>
            </w:r>
          </w:p>
        </w:tc>
        <w:tc>
          <w:tcPr>
            <w:tcW w:w="940" w:type="dxa"/>
          </w:tcPr>
          <w:p w:rsidR="000A328C" w:rsidRDefault="000A328C">
            <w:r>
              <w:t>2008</w:t>
            </w:r>
          </w:p>
        </w:tc>
        <w:tc>
          <w:tcPr>
            <w:tcW w:w="940" w:type="dxa"/>
          </w:tcPr>
          <w:p w:rsidR="000A328C" w:rsidRDefault="000A328C">
            <w:r>
              <w:t>2009</w:t>
            </w:r>
          </w:p>
        </w:tc>
        <w:tc>
          <w:tcPr>
            <w:tcW w:w="940" w:type="dxa"/>
          </w:tcPr>
          <w:p w:rsidR="000A328C" w:rsidRDefault="000A328C">
            <w:r>
              <w:t>2010</w:t>
            </w:r>
          </w:p>
        </w:tc>
        <w:tc>
          <w:tcPr>
            <w:tcW w:w="940" w:type="dxa"/>
          </w:tcPr>
          <w:p w:rsidR="000A328C" w:rsidRDefault="000A328C">
            <w:r>
              <w:t>2011</w:t>
            </w:r>
          </w:p>
        </w:tc>
      </w:tr>
      <w:tr w:rsidR="000A328C" w:rsidTr="006817E5">
        <w:tc>
          <w:tcPr>
            <w:tcW w:w="1101" w:type="dxa"/>
          </w:tcPr>
          <w:p w:rsidR="000A328C" w:rsidRDefault="006817E5">
            <w:r>
              <w:t>Var en %</w:t>
            </w:r>
          </w:p>
        </w:tc>
        <w:tc>
          <w:tcPr>
            <w:tcW w:w="850" w:type="dxa"/>
          </w:tcPr>
          <w:p w:rsidR="000A328C" w:rsidRDefault="006817E5">
            <w:r>
              <w:t>- 6,8%</w:t>
            </w:r>
          </w:p>
        </w:tc>
        <w:tc>
          <w:tcPr>
            <w:tcW w:w="760" w:type="dxa"/>
          </w:tcPr>
          <w:p w:rsidR="000A328C" w:rsidRDefault="000A328C">
            <w:r>
              <w:t>5,2</w:t>
            </w:r>
          </w:p>
        </w:tc>
        <w:tc>
          <w:tcPr>
            <w:tcW w:w="938" w:type="dxa"/>
          </w:tcPr>
          <w:p w:rsidR="000A328C" w:rsidRDefault="000A328C">
            <w:r>
              <w:t>2,6</w:t>
            </w:r>
          </w:p>
        </w:tc>
        <w:tc>
          <w:tcPr>
            <w:tcW w:w="939" w:type="dxa"/>
          </w:tcPr>
          <w:p w:rsidR="000A328C" w:rsidRDefault="000A328C">
            <w:r>
              <w:t>4,5</w:t>
            </w:r>
          </w:p>
        </w:tc>
        <w:tc>
          <w:tcPr>
            <w:tcW w:w="940" w:type="dxa"/>
          </w:tcPr>
          <w:p w:rsidR="000A328C" w:rsidRDefault="006817E5">
            <w:r>
              <w:t>- 4,1</w:t>
            </w:r>
          </w:p>
        </w:tc>
        <w:tc>
          <w:tcPr>
            <w:tcW w:w="940" w:type="dxa"/>
          </w:tcPr>
          <w:p w:rsidR="000A328C" w:rsidRDefault="000A328C">
            <w:r>
              <w:t>0,2</w:t>
            </w:r>
          </w:p>
        </w:tc>
        <w:tc>
          <w:tcPr>
            <w:tcW w:w="940" w:type="dxa"/>
          </w:tcPr>
          <w:p w:rsidR="000A328C" w:rsidRDefault="006817E5">
            <w:r>
              <w:t>-9,0</w:t>
            </w:r>
          </w:p>
        </w:tc>
        <w:tc>
          <w:tcPr>
            <w:tcW w:w="940" w:type="dxa"/>
          </w:tcPr>
          <w:p w:rsidR="000A328C" w:rsidRDefault="004A18CC">
            <w:r>
              <w:t>4,0</w:t>
            </w:r>
          </w:p>
        </w:tc>
        <w:tc>
          <w:tcPr>
            <w:tcW w:w="940" w:type="dxa"/>
          </w:tcPr>
          <w:p w:rsidR="000A328C" w:rsidRDefault="004A18CC">
            <w:r>
              <w:t>2,0</w:t>
            </w:r>
          </w:p>
        </w:tc>
      </w:tr>
    </w:tbl>
    <w:p w:rsidR="000A328C" w:rsidRDefault="004B1CB8">
      <w:r>
        <w:t>=&gt; forte volatilité</w:t>
      </w:r>
    </w:p>
    <w:p w:rsidR="0019352D" w:rsidRDefault="0019352D">
      <w:pPr>
        <w:rPr>
          <w:b/>
        </w:rPr>
      </w:pPr>
    </w:p>
    <w:p w:rsidR="00C00A3D" w:rsidRDefault="004B1CB8">
      <w:pPr>
        <w:rPr>
          <w:b/>
        </w:rPr>
      </w:pPr>
      <w:r w:rsidRPr="004B1CB8">
        <w:rPr>
          <w:b/>
        </w:rPr>
        <w:t xml:space="preserve">Acteurs du négoce des Composants électroniques en </w:t>
      </w:r>
      <w:r>
        <w:rPr>
          <w:b/>
        </w:rPr>
        <w:t>France</w:t>
      </w:r>
    </w:p>
    <w:p w:rsidR="004B1CB8" w:rsidRPr="004B1CB8" w:rsidRDefault="004B1CB8" w:rsidP="004B1CB8">
      <w:r w:rsidRPr="004B1CB8">
        <w:t>2</w:t>
      </w:r>
      <w:r>
        <w:t>67 é</w:t>
      </w:r>
      <w:r w:rsidRPr="004B1CB8">
        <w:t xml:space="preserve">tablissements  </w:t>
      </w:r>
      <w:r w:rsidR="00A069DD">
        <w:t>avec 74% de TPE (&lt;10 pers), 23% de 10 à 49 pers, 1,7% de 50 à 99 pers, de 100 à 499 pers 1,4%</w:t>
      </w:r>
    </w:p>
    <w:p w:rsidR="004B1CB8" w:rsidRPr="004B1CB8" w:rsidRDefault="004B1CB8">
      <w:r w:rsidRPr="004B1CB8">
        <w:rPr>
          <w:highlight w:val="yellow"/>
        </w:rPr>
        <w:t>A contacter pour notre prospection !</w:t>
      </w:r>
    </w:p>
    <w:tbl>
      <w:tblPr>
        <w:tblStyle w:val="Grilledutableau"/>
        <w:tblW w:w="0" w:type="auto"/>
        <w:tblLook w:val="04A0"/>
      </w:tblPr>
      <w:tblGrid>
        <w:gridCol w:w="2060"/>
        <w:gridCol w:w="3010"/>
        <w:gridCol w:w="1559"/>
        <w:gridCol w:w="1218"/>
        <w:gridCol w:w="1441"/>
      </w:tblGrid>
      <w:tr w:rsidR="00C80922" w:rsidTr="004B1CB8">
        <w:tc>
          <w:tcPr>
            <w:tcW w:w="2060" w:type="dxa"/>
          </w:tcPr>
          <w:p w:rsidR="00C80922" w:rsidRPr="00087B42" w:rsidRDefault="00C80922" w:rsidP="00087B42">
            <w:pPr>
              <w:jc w:val="center"/>
              <w:rPr>
                <w:b/>
                <w:lang w:val="en-US"/>
              </w:rPr>
            </w:pPr>
            <w:proofErr w:type="spellStart"/>
            <w:r w:rsidRPr="00087B42">
              <w:rPr>
                <w:b/>
                <w:lang w:val="en-US"/>
              </w:rPr>
              <w:t>Société</w:t>
            </w:r>
            <w:proofErr w:type="spellEnd"/>
          </w:p>
        </w:tc>
        <w:tc>
          <w:tcPr>
            <w:tcW w:w="3010" w:type="dxa"/>
          </w:tcPr>
          <w:p w:rsidR="00C80922" w:rsidRPr="00087B42" w:rsidRDefault="00C80922" w:rsidP="00087B42">
            <w:pPr>
              <w:jc w:val="center"/>
              <w:rPr>
                <w:b/>
                <w:lang w:val="en-US"/>
              </w:rPr>
            </w:pPr>
            <w:proofErr w:type="spellStart"/>
            <w:r w:rsidRPr="00087B42">
              <w:rPr>
                <w:b/>
                <w:lang w:val="en-US"/>
              </w:rPr>
              <w:t>actionnaire</w:t>
            </w:r>
            <w:proofErr w:type="spellEnd"/>
          </w:p>
        </w:tc>
        <w:tc>
          <w:tcPr>
            <w:tcW w:w="1559" w:type="dxa"/>
          </w:tcPr>
          <w:p w:rsidR="00C80922" w:rsidRPr="00087B42" w:rsidRDefault="00C80922" w:rsidP="00087B42">
            <w:pPr>
              <w:jc w:val="center"/>
              <w:rPr>
                <w:b/>
                <w:lang w:val="en-US"/>
              </w:rPr>
            </w:pPr>
            <w:r w:rsidRPr="00087B42">
              <w:rPr>
                <w:b/>
                <w:lang w:val="en-US"/>
              </w:rPr>
              <w:t>CA 2009 2008 en M€</w:t>
            </w:r>
          </w:p>
        </w:tc>
        <w:tc>
          <w:tcPr>
            <w:tcW w:w="1218" w:type="dxa"/>
          </w:tcPr>
          <w:p w:rsidR="00C80922" w:rsidRPr="00087B42" w:rsidRDefault="00C80922" w:rsidP="00087B42">
            <w:pPr>
              <w:jc w:val="center"/>
              <w:rPr>
                <w:b/>
                <w:lang w:val="en-US"/>
              </w:rPr>
            </w:pPr>
            <w:proofErr w:type="spellStart"/>
            <w:r w:rsidRPr="00087B42">
              <w:rPr>
                <w:b/>
                <w:lang w:val="en-US"/>
              </w:rPr>
              <w:t>Taux</w:t>
            </w:r>
            <w:proofErr w:type="spellEnd"/>
            <w:r w:rsidRPr="00087B42">
              <w:rPr>
                <w:b/>
                <w:lang w:val="en-US"/>
              </w:rPr>
              <w:t xml:space="preserve"> </w:t>
            </w:r>
            <w:proofErr w:type="spellStart"/>
            <w:r w:rsidRPr="00087B42">
              <w:rPr>
                <w:b/>
                <w:lang w:val="en-US"/>
              </w:rPr>
              <w:t>val</w:t>
            </w:r>
            <w:proofErr w:type="spellEnd"/>
            <w:r w:rsidRPr="00087B42">
              <w:rPr>
                <w:b/>
                <w:lang w:val="en-US"/>
              </w:rPr>
              <w:t xml:space="preserve"> </w:t>
            </w:r>
            <w:proofErr w:type="spellStart"/>
            <w:r w:rsidRPr="00087B42">
              <w:rPr>
                <w:b/>
                <w:lang w:val="en-US"/>
              </w:rPr>
              <w:t>ajoutée</w:t>
            </w:r>
            <w:proofErr w:type="spellEnd"/>
          </w:p>
        </w:tc>
        <w:tc>
          <w:tcPr>
            <w:tcW w:w="1441" w:type="dxa"/>
          </w:tcPr>
          <w:p w:rsidR="00C80922" w:rsidRPr="00087B42" w:rsidRDefault="00C80922" w:rsidP="00087B42">
            <w:pPr>
              <w:jc w:val="center"/>
              <w:rPr>
                <w:b/>
                <w:lang w:val="en-US"/>
              </w:rPr>
            </w:pPr>
            <w:proofErr w:type="spellStart"/>
            <w:r w:rsidRPr="00087B42">
              <w:rPr>
                <w:b/>
                <w:lang w:val="en-US"/>
              </w:rPr>
              <w:t>Taux</w:t>
            </w:r>
            <w:proofErr w:type="spellEnd"/>
            <w:r w:rsidRPr="00087B42">
              <w:rPr>
                <w:b/>
                <w:lang w:val="en-US"/>
              </w:rPr>
              <w:t xml:space="preserve"> de RN</w:t>
            </w:r>
          </w:p>
        </w:tc>
      </w:tr>
      <w:tr w:rsidR="00C80922" w:rsidTr="004B1CB8">
        <w:tc>
          <w:tcPr>
            <w:tcW w:w="2060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Arrow Fr</w:t>
            </w:r>
          </w:p>
        </w:tc>
        <w:tc>
          <w:tcPr>
            <w:tcW w:w="3010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Arrow USA 64%, Electronics distribution International</w:t>
            </w: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177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441" w:type="dxa"/>
          </w:tcPr>
          <w:p w:rsidR="00C80922" w:rsidRDefault="00555C56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-3,2%</w:t>
            </w:r>
          </w:p>
        </w:tc>
      </w:tr>
      <w:tr w:rsidR="00C80922" w:rsidTr="004B1CB8">
        <w:tc>
          <w:tcPr>
            <w:tcW w:w="2060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Radiospares</w:t>
            </w:r>
            <w:proofErr w:type="spellEnd"/>
          </w:p>
        </w:tc>
        <w:tc>
          <w:tcPr>
            <w:tcW w:w="3010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Electrocomponents</w:t>
            </w:r>
            <w:proofErr w:type="spellEnd"/>
            <w:r>
              <w:rPr>
                <w:lang w:val="en-US"/>
              </w:rPr>
              <w:t xml:space="preserve"> Fr 99%</w:t>
            </w: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7,9</w:t>
            </w:r>
          </w:p>
        </w:tc>
      </w:tr>
      <w:tr w:rsidR="00C80922" w:rsidRPr="00C00A3D" w:rsidTr="004B1CB8">
        <w:tc>
          <w:tcPr>
            <w:tcW w:w="2060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Avnet EMG Fr</w:t>
            </w:r>
          </w:p>
        </w:tc>
        <w:tc>
          <w:tcPr>
            <w:tcW w:w="3010" w:type="dxa"/>
          </w:tcPr>
          <w:p w:rsidR="00C80922" w:rsidRPr="00C00A3D" w:rsidRDefault="00C80922" w:rsidP="00087B42">
            <w:pPr>
              <w:jc w:val="center"/>
            </w:pPr>
            <w:proofErr w:type="spellStart"/>
            <w:r w:rsidRPr="00C00A3D">
              <w:t>Avnet</w:t>
            </w:r>
            <w:proofErr w:type="spellEnd"/>
            <w:r w:rsidRPr="00C00A3D">
              <w:t xml:space="preserve"> USA via </w:t>
            </w:r>
            <w:proofErr w:type="spellStart"/>
            <w:r w:rsidRPr="00C00A3D">
              <w:t>Avnet</w:t>
            </w:r>
            <w:proofErr w:type="spellEnd"/>
            <w:r w:rsidRPr="00C00A3D">
              <w:t xml:space="preserve"> Fr</w:t>
            </w:r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149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</w:pPr>
            <w:r>
              <w:t>8</w:t>
            </w: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</w:pPr>
            <w:r>
              <w:t>17,7</w:t>
            </w:r>
          </w:p>
        </w:tc>
      </w:tr>
      <w:tr w:rsidR="00C80922" w:rsidRPr="00C00A3D" w:rsidTr="004B1CB8">
        <w:tc>
          <w:tcPr>
            <w:tcW w:w="2060" w:type="dxa"/>
          </w:tcPr>
          <w:p w:rsidR="00C80922" w:rsidRPr="00C00A3D" w:rsidRDefault="00C80922" w:rsidP="00087B42">
            <w:pPr>
              <w:jc w:val="center"/>
            </w:pPr>
            <w:r>
              <w:t xml:space="preserve">EBV </w:t>
            </w:r>
            <w:proofErr w:type="spellStart"/>
            <w:r>
              <w:t>Electronik</w:t>
            </w:r>
            <w:proofErr w:type="spellEnd"/>
          </w:p>
        </w:tc>
        <w:tc>
          <w:tcPr>
            <w:tcW w:w="3010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Avnet</w:t>
            </w:r>
            <w:proofErr w:type="spellEnd"/>
            <w:r>
              <w:t xml:space="preserve"> USA </w:t>
            </w:r>
            <w:proofErr w:type="spellStart"/>
            <w:r>
              <w:t>cont</w:t>
            </w:r>
            <w:proofErr w:type="spellEnd"/>
            <w:r>
              <w:t xml:space="preserve"> major</w:t>
            </w:r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89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</w:pPr>
          </w:p>
        </w:tc>
      </w:tr>
      <w:tr w:rsidR="00C80922" w:rsidRPr="00C00A3D" w:rsidTr="004B1CB8">
        <w:tc>
          <w:tcPr>
            <w:tcW w:w="2060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Avnet</w:t>
            </w:r>
            <w:proofErr w:type="spellEnd"/>
            <w:r>
              <w:t xml:space="preserve"> Technology Solutions</w:t>
            </w:r>
          </w:p>
        </w:tc>
        <w:tc>
          <w:tcPr>
            <w:tcW w:w="3010" w:type="dxa"/>
          </w:tcPr>
          <w:p w:rsidR="00C80922" w:rsidRPr="00C00A3D" w:rsidRDefault="00C80922" w:rsidP="00087B42">
            <w:pPr>
              <w:jc w:val="center"/>
            </w:pPr>
            <w:proofErr w:type="spellStart"/>
            <w:r w:rsidRPr="00C00A3D">
              <w:t>Avnet</w:t>
            </w:r>
            <w:proofErr w:type="spellEnd"/>
            <w:r w:rsidRPr="00C00A3D">
              <w:t xml:space="preserve"> USA via </w:t>
            </w:r>
            <w:proofErr w:type="spellStart"/>
            <w:r w:rsidRPr="00C00A3D">
              <w:t>Avnet</w:t>
            </w:r>
            <w:proofErr w:type="spellEnd"/>
            <w:r w:rsidRPr="00C00A3D">
              <w:t xml:space="preserve"> Fr</w:t>
            </w:r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79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</w:pPr>
          </w:p>
        </w:tc>
      </w:tr>
      <w:tr w:rsidR="00C80922" w:rsidRPr="00C00A3D" w:rsidTr="004B1CB8">
        <w:tc>
          <w:tcPr>
            <w:tcW w:w="2060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Rutronik</w:t>
            </w:r>
            <w:proofErr w:type="spellEnd"/>
          </w:p>
        </w:tc>
        <w:tc>
          <w:tcPr>
            <w:tcW w:w="3010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Rutronik</w:t>
            </w:r>
            <w:proofErr w:type="spellEnd"/>
            <w:r>
              <w:t xml:space="preserve"> </w:t>
            </w:r>
            <w:proofErr w:type="spellStart"/>
            <w:r>
              <w:t>Elektronische</w:t>
            </w:r>
            <w:proofErr w:type="spellEnd"/>
            <w:r>
              <w:t xml:space="preserve"> All.</w:t>
            </w:r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62,4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</w:pPr>
          </w:p>
        </w:tc>
      </w:tr>
      <w:tr w:rsidR="00C80922" w:rsidRPr="00C00A3D" w:rsidTr="004B1CB8">
        <w:tc>
          <w:tcPr>
            <w:tcW w:w="2060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Franell</w:t>
            </w:r>
            <w:proofErr w:type="spellEnd"/>
            <w:r>
              <w:t xml:space="preserve"> Fr</w:t>
            </w:r>
          </w:p>
        </w:tc>
        <w:tc>
          <w:tcPr>
            <w:tcW w:w="3010" w:type="dxa"/>
          </w:tcPr>
          <w:p w:rsidR="00C80922" w:rsidRPr="00C00A3D" w:rsidRDefault="00C80922" w:rsidP="00087B42">
            <w:pPr>
              <w:jc w:val="center"/>
            </w:pPr>
            <w:r>
              <w:t xml:space="preserve">Premier </w:t>
            </w:r>
            <w:proofErr w:type="spellStart"/>
            <w:r>
              <w:t>Franell</w:t>
            </w:r>
            <w:proofErr w:type="spellEnd"/>
            <w:r>
              <w:t xml:space="preserve"> via </w:t>
            </w:r>
            <w:proofErr w:type="spellStart"/>
            <w:r>
              <w:t>Farnelle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omponent</w:t>
            </w:r>
            <w:proofErr w:type="spellEnd"/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39</w:t>
            </w:r>
          </w:p>
        </w:tc>
        <w:tc>
          <w:tcPr>
            <w:tcW w:w="1218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441" w:type="dxa"/>
          </w:tcPr>
          <w:p w:rsidR="00C80922" w:rsidRDefault="00C80922" w:rsidP="00087B42">
            <w:pPr>
              <w:jc w:val="center"/>
            </w:pPr>
          </w:p>
        </w:tc>
      </w:tr>
    </w:tbl>
    <w:p w:rsidR="00C00A3D" w:rsidRPr="00C00A3D" w:rsidRDefault="00C00A3D" w:rsidP="00087B42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179"/>
        <w:gridCol w:w="2891"/>
        <w:gridCol w:w="1559"/>
        <w:gridCol w:w="1081"/>
        <w:gridCol w:w="1578"/>
      </w:tblGrid>
      <w:tr w:rsidR="00C80922" w:rsidRPr="00C00A3D" w:rsidTr="004B1CB8">
        <w:tc>
          <w:tcPr>
            <w:tcW w:w="2179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lastRenderedPageBreak/>
              <w:t>Microtronica</w:t>
            </w:r>
            <w:proofErr w:type="spellEnd"/>
            <w:r>
              <w:t xml:space="preserve"> Fr</w:t>
            </w:r>
          </w:p>
        </w:tc>
        <w:tc>
          <w:tcPr>
            <w:tcW w:w="2891" w:type="dxa"/>
          </w:tcPr>
          <w:p w:rsidR="00C80922" w:rsidRPr="00C00A3D" w:rsidRDefault="00C80922" w:rsidP="00087B42">
            <w:pPr>
              <w:jc w:val="center"/>
            </w:pPr>
            <w:r>
              <w:t xml:space="preserve">Arrow </w:t>
            </w:r>
            <w:proofErr w:type="spellStart"/>
            <w:r>
              <w:t>Electronics</w:t>
            </w:r>
            <w:proofErr w:type="spellEnd"/>
          </w:p>
        </w:tc>
        <w:tc>
          <w:tcPr>
            <w:tcW w:w="1559" w:type="dxa"/>
          </w:tcPr>
          <w:p w:rsidR="00C80922" w:rsidRPr="00C00A3D" w:rsidRDefault="00C80922" w:rsidP="00087B42">
            <w:pPr>
              <w:jc w:val="center"/>
            </w:pPr>
            <w:r>
              <w:t>37,7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</w:pPr>
            <w:r>
              <w:t>1</w:t>
            </w: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</w:pPr>
          </w:p>
        </w:tc>
      </w:tr>
      <w:tr w:rsidR="00C80922" w:rsidRPr="00BF3F7A" w:rsidTr="004B1CB8">
        <w:tc>
          <w:tcPr>
            <w:tcW w:w="2179" w:type="dxa"/>
          </w:tcPr>
          <w:p w:rsidR="00C80922" w:rsidRPr="00C00A3D" w:rsidRDefault="00C80922" w:rsidP="00087B42">
            <w:pPr>
              <w:jc w:val="center"/>
            </w:pPr>
            <w:proofErr w:type="spellStart"/>
            <w:r>
              <w:t>Axess</w:t>
            </w:r>
            <w:proofErr w:type="spellEnd"/>
            <w:r>
              <w:t xml:space="preserve"> Technology</w:t>
            </w:r>
          </w:p>
        </w:tc>
        <w:tc>
          <w:tcPr>
            <w:tcW w:w="2891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 w:rsidRPr="00BF3F7A">
              <w:rPr>
                <w:lang w:val="en-US"/>
              </w:rPr>
              <w:t>Avnet via Abacus group UK</w:t>
            </w:r>
          </w:p>
        </w:tc>
        <w:tc>
          <w:tcPr>
            <w:tcW w:w="155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33,1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</w:tr>
      <w:tr w:rsidR="00C80922" w:rsidRPr="00BF3F7A" w:rsidTr="004B1CB8">
        <w:tc>
          <w:tcPr>
            <w:tcW w:w="217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PN electronics</w:t>
            </w:r>
          </w:p>
        </w:tc>
        <w:tc>
          <w:tcPr>
            <w:tcW w:w="2891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Future electronics 99%</w:t>
            </w:r>
          </w:p>
        </w:tc>
        <w:tc>
          <w:tcPr>
            <w:tcW w:w="155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</w:tr>
      <w:tr w:rsidR="00C80922" w:rsidRPr="00BF3F7A" w:rsidTr="004B1CB8">
        <w:tc>
          <w:tcPr>
            <w:tcW w:w="217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Murata Electronique</w:t>
            </w:r>
          </w:p>
        </w:tc>
        <w:tc>
          <w:tcPr>
            <w:tcW w:w="2891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Murata machinery </w:t>
            </w:r>
            <w:proofErr w:type="spellStart"/>
            <w:r>
              <w:rPr>
                <w:lang w:val="en-US"/>
              </w:rPr>
              <w:t>Japon</w:t>
            </w:r>
            <w:proofErr w:type="spellEnd"/>
          </w:p>
        </w:tc>
        <w:tc>
          <w:tcPr>
            <w:tcW w:w="155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29,3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</w:tr>
      <w:tr w:rsidR="00C80922" w:rsidRPr="00BF3F7A" w:rsidTr="004B1CB8">
        <w:tc>
          <w:tcPr>
            <w:tcW w:w="217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Abacus RDI </w:t>
            </w:r>
            <w:proofErr w:type="spellStart"/>
            <w:r>
              <w:rPr>
                <w:lang w:val="en-US"/>
              </w:rPr>
              <w:t>Deltron</w:t>
            </w:r>
            <w:proofErr w:type="spellEnd"/>
          </w:p>
        </w:tc>
        <w:tc>
          <w:tcPr>
            <w:tcW w:w="2891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Avnet via Abacus via </w:t>
            </w:r>
            <w:proofErr w:type="spellStart"/>
            <w:r>
              <w:rPr>
                <w:lang w:val="en-US"/>
              </w:rPr>
              <w:t>AXess</w:t>
            </w:r>
            <w:proofErr w:type="spellEnd"/>
            <w:r>
              <w:rPr>
                <w:lang w:val="en-US"/>
              </w:rPr>
              <w:t xml:space="preserve"> Technology</w:t>
            </w:r>
          </w:p>
        </w:tc>
        <w:tc>
          <w:tcPr>
            <w:tcW w:w="155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  <w:rPr>
                <w:lang w:val="en-US"/>
              </w:rPr>
            </w:pPr>
          </w:p>
        </w:tc>
      </w:tr>
      <w:tr w:rsidR="00C80922" w:rsidRPr="00CB4EA2" w:rsidTr="004B1CB8">
        <w:tc>
          <w:tcPr>
            <w:tcW w:w="2179" w:type="dxa"/>
          </w:tcPr>
          <w:p w:rsidR="00C80922" w:rsidRPr="00BF3F7A" w:rsidRDefault="00C80922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Mateleco</w:t>
            </w:r>
            <w:proofErr w:type="spellEnd"/>
          </w:p>
        </w:tc>
        <w:tc>
          <w:tcPr>
            <w:tcW w:w="2891" w:type="dxa"/>
          </w:tcPr>
          <w:p w:rsidR="00C80922" w:rsidRPr="00CB4EA2" w:rsidRDefault="00C80922" w:rsidP="00087B42">
            <w:pPr>
              <w:jc w:val="center"/>
            </w:pPr>
            <w:r w:rsidRPr="00CB4EA2">
              <w:t xml:space="preserve">TTI USA via </w:t>
            </w:r>
            <w:proofErr w:type="spellStart"/>
            <w:r w:rsidRPr="00CB4EA2">
              <w:t>Mataleco</w:t>
            </w:r>
            <w:proofErr w:type="spellEnd"/>
            <w:r w:rsidRPr="00CB4EA2">
              <w:t xml:space="preserve"> Finance 100%</w:t>
            </w:r>
          </w:p>
        </w:tc>
        <w:tc>
          <w:tcPr>
            <w:tcW w:w="1559" w:type="dxa"/>
          </w:tcPr>
          <w:p w:rsidR="00C80922" w:rsidRPr="00CB4EA2" w:rsidRDefault="00C80922" w:rsidP="00087B42">
            <w:pPr>
              <w:jc w:val="center"/>
            </w:pPr>
            <w:r>
              <w:t>24,8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</w:pPr>
            <w:r>
              <w:t>7,5</w:t>
            </w:r>
          </w:p>
        </w:tc>
      </w:tr>
      <w:tr w:rsidR="00C80922" w:rsidRPr="00CB4EA2" w:rsidTr="004B1CB8">
        <w:tc>
          <w:tcPr>
            <w:tcW w:w="2179" w:type="dxa"/>
          </w:tcPr>
          <w:p w:rsidR="00C80922" w:rsidRPr="00CB4EA2" w:rsidRDefault="00C80922" w:rsidP="00087B42">
            <w:pPr>
              <w:jc w:val="center"/>
            </w:pPr>
            <w:r>
              <w:t>ERG Transit Systems</w:t>
            </w:r>
          </w:p>
        </w:tc>
        <w:tc>
          <w:tcPr>
            <w:tcW w:w="2891" w:type="dxa"/>
          </w:tcPr>
          <w:p w:rsidR="00C80922" w:rsidRPr="00CB4EA2" w:rsidRDefault="00C80922" w:rsidP="00087B42">
            <w:pPr>
              <w:jc w:val="center"/>
            </w:pPr>
            <w:r>
              <w:t>ERG Transit Systems Belgique</w:t>
            </w:r>
          </w:p>
        </w:tc>
        <w:tc>
          <w:tcPr>
            <w:tcW w:w="1559" w:type="dxa"/>
          </w:tcPr>
          <w:p w:rsidR="00C80922" w:rsidRPr="00CB4EA2" w:rsidRDefault="00C80922" w:rsidP="00087B42">
            <w:pPr>
              <w:jc w:val="center"/>
            </w:pPr>
            <w:r>
              <w:t>24,5</w:t>
            </w:r>
          </w:p>
        </w:tc>
        <w:tc>
          <w:tcPr>
            <w:tcW w:w="1081" w:type="dxa"/>
          </w:tcPr>
          <w:p w:rsidR="00C80922" w:rsidRDefault="00C80922" w:rsidP="00087B42">
            <w:pPr>
              <w:jc w:val="center"/>
            </w:pPr>
            <w:r>
              <w:t>24</w:t>
            </w:r>
          </w:p>
        </w:tc>
        <w:tc>
          <w:tcPr>
            <w:tcW w:w="1578" w:type="dxa"/>
          </w:tcPr>
          <w:p w:rsidR="00C80922" w:rsidRDefault="00C80922" w:rsidP="00087B42">
            <w:pPr>
              <w:jc w:val="center"/>
            </w:pPr>
          </w:p>
        </w:tc>
      </w:tr>
    </w:tbl>
    <w:p w:rsidR="00C00A3D" w:rsidRDefault="00C00A3D" w:rsidP="00087B42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149"/>
        <w:gridCol w:w="2921"/>
        <w:gridCol w:w="1559"/>
        <w:gridCol w:w="1052"/>
        <w:gridCol w:w="1607"/>
      </w:tblGrid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r>
              <w:t xml:space="preserve">MB </w:t>
            </w:r>
            <w:proofErr w:type="spellStart"/>
            <w:r>
              <w:t>electonique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Plly</w:t>
            </w:r>
            <w:proofErr w:type="spellEnd"/>
            <w:r>
              <w:t xml:space="preserve"> 99%</w:t>
            </w: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24,3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  <w:r>
              <w:t>29</w:t>
            </w: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r>
              <w:t xml:space="preserve">BFI </w:t>
            </w:r>
            <w:proofErr w:type="spellStart"/>
            <w:r>
              <w:t>Optilas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Acal</w:t>
            </w:r>
            <w:proofErr w:type="spellEnd"/>
            <w:r>
              <w:t xml:space="preserve"> UK 100%</w:t>
            </w: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24,3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proofErr w:type="spellStart"/>
            <w:r>
              <w:t>Harting</w:t>
            </w:r>
            <w:proofErr w:type="spellEnd"/>
            <w:r>
              <w:t xml:space="preserve"> Fr</w:t>
            </w:r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Harting</w:t>
            </w:r>
            <w:proofErr w:type="spellEnd"/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19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proofErr w:type="spellStart"/>
            <w:r>
              <w:t>Elexience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Milexia</w:t>
            </w:r>
            <w:proofErr w:type="spellEnd"/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18,8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  <w:r>
              <w:t>30</w:t>
            </w: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  <w:r>
              <w:t>6,4</w:t>
            </w: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proofErr w:type="spellStart"/>
            <w:r>
              <w:t>Icape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Blenghien</w:t>
            </w:r>
            <w:proofErr w:type="spellEnd"/>
            <w:r>
              <w:t xml:space="preserve"> Thierry 96%</w:t>
            </w: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18,6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proofErr w:type="spellStart"/>
            <w:r>
              <w:t>Clitor</w:t>
            </w:r>
            <w:proofErr w:type="spellEnd"/>
            <w:r>
              <w:t xml:space="preserve"> </w:t>
            </w:r>
            <w:proofErr w:type="spellStart"/>
            <w:r>
              <w:t>Trading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proofErr w:type="spellStart"/>
            <w:r>
              <w:t>Luiggi</w:t>
            </w:r>
            <w:proofErr w:type="spellEnd"/>
            <w:r>
              <w:t xml:space="preserve"> </w:t>
            </w:r>
            <w:proofErr w:type="spellStart"/>
            <w:r>
              <w:t>Bianchi</w:t>
            </w:r>
            <w:proofErr w:type="spellEnd"/>
            <w:r>
              <w:t xml:space="preserve"> 50%</w:t>
            </w:r>
          </w:p>
          <w:p w:rsidR="00C80922" w:rsidRDefault="00C80922" w:rsidP="00087B42">
            <w:pPr>
              <w:jc w:val="center"/>
            </w:pPr>
            <w:proofErr w:type="spellStart"/>
            <w:r>
              <w:t>Graziano</w:t>
            </w:r>
            <w:proofErr w:type="spellEnd"/>
            <w:r>
              <w:t xml:space="preserve"> </w:t>
            </w:r>
            <w:proofErr w:type="spellStart"/>
            <w:r>
              <w:t>Crotti</w:t>
            </w:r>
            <w:proofErr w:type="spellEnd"/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17,2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  <w:r>
              <w:t>1</w:t>
            </w: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Pr="004E37AE" w:rsidRDefault="00C80922" w:rsidP="00087B42">
            <w:pPr>
              <w:jc w:val="center"/>
              <w:rPr>
                <w:highlight w:val="yellow"/>
              </w:rPr>
            </w:pPr>
            <w:proofErr w:type="spellStart"/>
            <w:r w:rsidRPr="004E37AE">
              <w:rPr>
                <w:highlight w:val="yellow"/>
              </w:rPr>
              <w:t>Eurocomp</w:t>
            </w:r>
            <w:proofErr w:type="spellEnd"/>
          </w:p>
        </w:tc>
        <w:tc>
          <w:tcPr>
            <w:tcW w:w="2921" w:type="dxa"/>
          </w:tcPr>
          <w:p w:rsidR="00C80922" w:rsidRPr="004E37AE" w:rsidRDefault="00C80922" w:rsidP="00087B42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C80922" w:rsidRPr="004E37AE" w:rsidRDefault="00C80922" w:rsidP="00087B42">
            <w:pPr>
              <w:jc w:val="center"/>
              <w:rPr>
                <w:highlight w:val="yellow"/>
              </w:rPr>
            </w:pPr>
            <w:r w:rsidRPr="004E37AE">
              <w:rPr>
                <w:highlight w:val="yellow"/>
              </w:rPr>
              <w:t>16,9</w:t>
            </w:r>
          </w:p>
        </w:tc>
        <w:tc>
          <w:tcPr>
            <w:tcW w:w="1052" w:type="dxa"/>
          </w:tcPr>
          <w:p w:rsidR="00C80922" w:rsidRPr="004E37AE" w:rsidRDefault="00C80922" w:rsidP="00087B42">
            <w:pPr>
              <w:jc w:val="center"/>
              <w:rPr>
                <w:highlight w:val="yellow"/>
              </w:rPr>
            </w:pPr>
            <w:r w:rsidRPr="004E37AE">
              <w:rPr>
                <w:highlight w:val="yellow"/>
              </w:rPr>
              <w:t>20</w:t>
            </w:r>
          </w:p>
        </w:tc>
        <w:tc>
          <w:tcPr>
            <w:tcW w:w="1607" w:type="dxa"/>
          </w:tcPr>
          <w:p w:rsidR="00C80922" w:rsidRPr="004E37AE" w:rsidRDefault="00C80922" w:rsidP="00087B42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6,1</w:t>
            </w: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proofErr w:type="spellStart"/>
            <w:r>
              <w:t>Sorelec</w:t>
            </w:r>
            <w:proofErr w:type="spellEnd"/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  <w:r>
              <w:t xml:space="preserve">Groupe </w:t>
            </w:r>
            <w:proofErr w:type="spellStart"/>
            <w:r>
              <w:t>Sorelec</w:t>
            </w:r>
            <w:proofErr w:type="spellEnd"/>
            <w:r>
              <w:t xml:space="preserve"> 60%, Famille </w:t>
            </w:r>
            <w:proofErr w:type="spellStart"/>
            <w:r>
              <w:t>Toulec</w:t>
            </w:r>
            <w:proofErr w:type="spellEnd"/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16,6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  <w:tr w:rsidR="00C80922" w:rsidTr="004B1CB8">
        <w:tc>
          <w:tcPr>
            <w:tcW w:w="2149" w:type="dxa"/>
          </w:tcPr>
          <w:p w:rsidR="00C80922" w:rsidRDefault="00C80922" w:rsidP="00087B42">
            <w:pPr>
              <w:jc w:val="center"/>
            </w:pPr>
            <w:r>
              <w:t>Parsec</w:t>
            </w:r>
          </w:p>
        </w:tc>
        <w:tc>
          <w:tcPr>
            <w:tcW w:w="2921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559" w:type="dxa"/>
          </w:tcPr>
          <w:p w:rsidR="00C80922" w:rsidRDefault="00C80922" w:rsidP="00087B42">
            <w:pPr>
              <w:jc w:val="center"/>
            </w:pPr>
            <w:r>
              <w:t>15,8</w:t>
            </w:r>
          </w:p>
        </w:tc>
        <w:tc>
          <w:tcPr>
            <w:tcW w:w="1052" w:type="dxa"/>
          </w:tcPr>
          <w:p w:rsidR="00C80922" w:rsidRDefault="00C80922" w:rsidP="00087B42">
            <w:pPr>
              <w:jc w:val="center"/>
            </w:pPr>
          </w:p>
        </w:tc>
        <w:tc>
          <w:tcPr>
            <w:tcW w:w="1607" w:type="dxa"/>
          </w:tcPr>
          <w:p w:rsidR="00C80922" w:rsidRDefault="00C80922" w:rsidP="00087B42">
            <w:pPr>
              <w:jc w:val="center"/>
            </w:pPr>
          </w:p>
        </w:tc>
      </w:tr>
    </w:tbl>
    <w:p w:rsidR="002F27DC" w:rsidRDefault="002F27DC" w:rsidP="00087B42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487"/>
        <w:gridCol w:w="2462"/>
        <w:gridCol w:w="2235"/>
        <w:gridCol w:w="2104"/>
      </w:tblGrid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Société</w:t>
            </w:r>
            <w:proofErr w:type="spellEnd"/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actionnaire</w:t>
            </w:r>
            <w:proofErr w:type="spellEnd"/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 2009 2008 en M€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Taux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ajoutée</w:t>
            </w:r>
            <w:proofErr w:type="spellEnd"/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proofErr w:type="spellStart"/>
            <w:r>
              <w:t>Integral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>Just Rams UK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15,7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r>
              <w:t>FEI Fr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>Philips NL, FEI USA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15,7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proofErr w:type="spellStart"/>
            <w:r>
              <w:t>Wurth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Fr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proofErr w:type="spellStart"/>
            <w:r>
              <w:t>Wurth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All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15,6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  <w:r>
              <w:t>32</w:t>
            </w: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r>
              <w:t>GRD Com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>CGE Distribution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13,9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r>
              <w:t>Electronique diffusion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13,4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proofErr w:type="spellStart"/>
            <w:r>
              <w:t>Cablerie</w:t>
            </w:r>
            <w:proofErr w:type="spellEnd"/>
            <w:r>
              <w:t xml:space="preserve"> SAB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 xml:space="preserve">Peter </w:t>
            </w:r>
            <w:proofErr w:type="spellStart"/>
            <w:r>
              <w:t>Brockles</w:t>
            </w:r>
            <w:proofErr w:type="spellEnd"/>
            <w:r>
              <w:t xml:space="preserve"> 43%, </w:t>
            </w:r>
            <w:proofErr w:type="spellStart"/>
            <w:r>
              <w:t>Brockses</w:t>
            </w:r>
            <w:proofErr w:type="spellEnd"/>
            <w:r>
              <w:t xml:space="preserve"> All 38%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12,8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r>
              <w:t xml:space="preserve">Stanley </w:t>
            </w:r>
            <w:proofErr w:type="spellStart"/>
            <w:r>
              <w:t>Idess</w:t>
            </w:r>
            <w:proofErr w:type="spellEnd"/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 xml:space="preserve">Stanley </w:t>
            </w:r>
            <w:proofErr w:type="spellStart"/>
            <w:r>
              <w:t>elctric</w:t>
            </w:r>
            <w:proofErr w:type="spellEnd"/>
            <w:r>
              <w:t xml:space="preserve"> japon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11,5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  <w:tr w:rsidR="004B1CB8" w:rsidTr="004E37AE">
        <w:tc>
          <w:tcPr>
            <w:tcW w:w="2487" w:type="dxa"/>
          </w:tcPr>
          <w:p w:rsidR="004B1CB8" w:rsidRDefault="004B1CB8" w:rsidP="00087B42">
            <w:pPr>
              <w:jc w:val="center"/>
            </w:pPr>
            <w:r>
              <w:t>Richardson electronique</w:t>
            </w:r>
          </w:p>
        </w:tc>
        <w:tc>
          <w:tcPr>
            <w:tcW w:w="2462" w:type="dxa"/>
          </w:tcPr>
          <w:p w:rsidR="004B1CB8" w:rsidRDefault="004B1CB8" w:rsidP="00087B42">
            <w:pPr>
              <w:jc w:val="center"/>
            </w:pPr>
            <w:r>
              <w:t>REL NL 100%</w:t>
            </w:r>
          </w:p>
        </w:tc>
        <w:tc>
          <w:tcPr>
            <w:tcW w:w="2235" w:type="dxa"/>
          </w:tcPr>
          <w:p w:rsidR="004B1CB8" w:rsidRDefault="004B1CB8" w:rsidP="00087B42">
            <w:pPr>
              <w:jc w:val="center"/>
            </w:pPr>
            <w:r>
              <w:t>11,5</w:t>
            </w:r>
          </w:p>
        </w:tc>
        <w:tc>
          <w:tcPr>
            <w:tcW w:w="2104" w:type="dxa"/>
          </w:tcPr>
          <w:p w:rsidR="004B1CB8" w:rsidRDefault="004B1CB8" w:rsidP="00087B42">
            <w:pPr>
              <w:jc w:val="center"/>
            </w:pPr>
          </w:p>
        </w:tc>
      </w:tr>
    </w:tbl>
    <w:p w:rsidR="002F27DC" w:rsidRDefault="002F27DC" w:rsidP="00087B42">
      <w:pPr>
        <w:jc w:val="center"/>
      </w:pPr>
    </w:p>
    <w:tbl>
      <w:tblPr>
        <w:tblStyle w:val="Grilledutableau"/>
        <w:tblW w:w="0" w:type="auto"/>
        <w:tblLook w:val="04A0"/>
      </w:tblPr>
      <w:tblGrid>
        <w:gridCol w:w="2517"/>
        <w:gridCol w:w="2430"/>
        <w:gridCol w:w="2236"/>
        <w:gridCol w:w="2105"/>
      </w:tblGrid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r>
              <w:t>LCM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10,8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proofErr w:type="spellStart"/>
            <w:r>
              <w:t>Pilz</w:t>
            </w:r>
            <w:proofErr w:type="spellEnd"/>
            <w:r>
              <w:t xml:space="preserve"> Fr electronique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All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10,8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  <w:r>
              <w:t>27</w:t>
            </w: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r>
              <w:t xml:space="preserve">Sté composants </w:t>
            </w:r>
            <w:proofErr w:type="spellStart"/>
            <w:r>
              <w:t>electroniques</w:t>
            </w:r>
            <w:proofErr w:type="spellEnd"/>
            <w:r>
              <w:t xml:space="preserve"> Lyonnais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AAGC Innovation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9,9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r>
              <w:t xml:space="preserve">Diffusion </w:t>
            </w:r>
            <w:proofErr w:type="spellStart"/>
            <w:r>
              <w:t>repres</w:t>
            </w:r>
            <w:proofErr w:type="spellEnd"/>
            <w:r>
              <w:t xml:space="preserve"> commerce </w:t>
            </w:r>
            <w:proofErr w:type="spellStart"/>
            <w:r>
              <w:t>techn</w:t>
            </w:r>
            <w:proofErr w:type="spellEnd"/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Famille le Vaillant 90%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9,2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proofErr w:type="spellStart"/>
            <w:r>
              <w:t>Dream</w:t>
            </w:r>
            <w:proofErr w:type="spellEnd"/>
            <w:r>
              <w:t xml:space="preserve"> Tech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HBP associés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9,1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proofErr w:type="spellStart"/>
            <w:r>
              <w:t>Yelloz</w:t>
            </w:r>
            <w:proofErr w:type="spellEnd"/>
            <w:r>
              <w:t xml:space="preserve"> components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9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proofErr w:type="spellStart"/>
            <w:r>
              <w:t>Adavnced</w:t>
            </w:r>
            <w:proofErr w:type="spellEnd"/>
            <w:r>
              <w:t xml:space="preserve"> Micro </w:t>
            </w:r>
            <w:proofErr w:type="spellStart"/>
            <w:r>
              <w:t>Devices</w:t>
            </w:r>
            <w:proofErr w:type="spellEnd"/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AMD USA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7,8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  <w:tr w:rsidR="004E37AE" w:rsidTr="004E37AE">
        <w:tc>
          <w:tcPr>
            <w:tcW w:w="2517" w:type="dxa"/>
          </w:tcPr>
          <w:p w:rsidR="004E37AE" w:rsidRDefault="004E37AE" w:rsidP="00087B42">
            <w:pPr>
              <w:jc w:val="center"/>
            </w:pPr>
            <w:r>
              <w:t>Composants acquisition traitement du signal</w:t>
            </w:r>
          </w:p>
        </w:tc>
        <w:tc>
          <w:tcPr>
            <w:tcW w:w="2430" w:type="dxa"/>
          </w:tcPr>
          <w:p w:rsidR="004E37AE" w:rsidRDefault="004E37AE" w:rsidP="00087B42">
            <w:pPr>
              <w:jc w:val="center"/>
            </w:pPr>
            <w:r>
              <w:t>BMV Tech</w:t>
            </w:r>
          </w:p>
        </w:tc>
        <w:tc>
          <w:tcPr>
            <w:tcW w:w="2236" w:type="dxa"/>
          </w:tcPr>
          <w:p w:rsidR="004E37AE" w:rsidRDefault="004E37AE" w:rsidP="00087B42">
            <w:pPr>
              <w:jc w:val="center"/>
            </w:pPr>
            <w:r>
              <w:t>7,8</w:t>
            </w:r>
          </w:p>
        </w:tc>
        <w:tc>
          <w:tcPr>
            <w:tcW w:w="2105" w:type="dxa"/>
          </w:tcPr>
          <w:p w:rsidR="004E37AE" w:rsidRDefault="004E37AE" w:rsidP="00087B42">
            <w:pPr>
              <w:jc w:val="center"/>
            </w:pPr>
          </w:p>
        </w:tc>
      </w:tr>
    </w:tbl>
    <w:p w:rsidR="003E1EFB" w:rsidRDefault="003E1EFB"/>
    <w:p w:rsidR="00903AD3" w:rsidRPr="004B1CB8" w:rsidRDefault="004B1CB8">
      <w:pPr>
        <w:rPr>
          <w:b/>
        </w:rPr>
      </w:pPr>
      <w:r w:rsidRPr="004B1CB8">
        <w:rPr>
          <w:b/>
        </w:rPr>
        <w:t>Forts t</w:t>
      </w:r>
      <w:r w:rsidR="004E37AE" w:rsidRPr="004B1CB8">
        <w:rPr>
          <w:b/>
        </w:rPr>
        <w:t>aux de valeur ajoutée</w:t>
      </w:r>
      <w:r w:rsidR="006817E5">
        <w:rPr>
          <w:b/>
        </w:rPr>
        <w:t xml:space="preserve"> (bons élèves)</w:t>
      </w:r>
    </w:p>
    <w:p w:rsidR="004E37AE" w:rsidRDefault="004E37AE">
      <w:proofErr w:type="spellStart"/>
      <w:r>
        <w:lastRenderedPageBreak/>
        <w:t>Radiospares</w:t>
      </w:r>
      <w:proofErr w:type="spellEnd"/>
      <w:r>
        <w:t> : 34% (167 M€)</w:t>
      </w:r>
    </w:p>
    <w:p w:rsidR="004E37AE" w:rsidRDefault="004E37AE">
      <w:proofErr w:type="spellStart"/>
      <w:r>
        <w:t>Wurth</w:t>
      </w:r>
      <w:proofErr w:type="spellEnd"/>
      <w:r>
        <w:t xml:space="preserve"> 34%</w:t>
      </w:r>
    </w:p>
    <w:p w:rsidR="002F27DC" w:rsidRDefault="004E37AE">
      <w:proofErr w:type="spellStart"/>
      <w:r>
        <w:t>Elexience</w:t>
      </w:r>
      <w:proofErr w:type="spellEnd"/>
      <w:r>
        <w:t> : 30%</w:t>
      </w:r>
    </w:p>
    <w:p w:rsidR="004A18CC" w:rsidRPr="004B1CB8" w:rsidRDefault="00087B42">
      <w:pPr>
        <w:rPr>
          <w:b/>
        </w:rPr>
      </w:pPr>
      <w:r>
        <w:rPr>
          <w:b/>
        </w:rPr>
        <w:t>Domaines d’activité clients des négociants</w:t>
      </w:r>
    </w:p>
    <w:tbl>
      <w:tblPr>
        <w:tblStyle w:val="Grilledutableau"/>
        <w:tblW w:w="0" w:type="auto"/>
        <w:tblLook w:val="04A0"/>
      </w:tblPr>
      <w:tblGrid>
        <w:gridCol w:w="1493"/>
        <w:gridCol w:w="865"/>
        <w:gridCol w:w="866"/>
        <w:gridCol w:w="867"/>
        <w:gridCol w:w="867"/>
        <w:gridCol w:w="867"/>
        <w:gridCol w:w="867"/>
        <w:gridCol w:w="867"/>
      </w:tblGrid>
      <w:tr w:rsidR="00C00A3D" w:rsidTr="00C00A3D">
        <w:tc>
          <w:tcPr>
            <w:tcW w:w="1493" w:type="dxa"/>
          </w:tcPr>
          <w:p w:rsidR="00C00A3D" w:rsidRDefault="00C00A3D" w:rsidP="00087B42">
            <w:pPr>
              <w:jc w:val="center"/>
            </w:pPr>
          </w:p>
        </w:tc>
        <w:tc>
          <w:tcPr>
            <w:tcW w:w="865" w:type="dxa"/>
          </w:tcPr>
          <w:p w:rsidR="00C00A3D" w:rsidRDefault="00C00A3D" w:rsidP="00087B42">
            <w:pPr>
              <w:jc w:val="center"/>
            </w:pPr>
            <w:r>
              <w:t>2005</w:t>
            </w:r>
          </w:p>
        </w:tc>
        <w:tc>
          <w:tcPr>
            <w:tcW w:w="866" w:type="dxa"/>
          </w:tcPr>
          <w:p w:rsidR="00C00A3D" w:rsidRDefault="00C00A3D" w:rsidP="00087B42">
            <w:pPr>
              <w:jc w:val="center"/>
            </w:pPr>
            <w:r>
              <w:t>2006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2007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2008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2009</w:t>
            </w:r>
          </w:p>
        </w:tc>
        <w:tc>
          <w:tcPr>
            <w:tcW w:w="867" w:type="dxa"/>
          </w:tcPr>
          <w:p w:rsidR="00C00A3D" w:rsidRPr="00222CE3" w:rsidRDefault="00C00A3D" w:rsidP="00087B42">
            <w:pPr>
              <w:jc w:val="center"/>
              <w:rPr>
                <w:highlight w:val="yellow"/>
              </w:rPr>
            </w:pPr>
            <w:r w:rsidRPr="00222CE3">
              <w:rPr>
                <w:highlight w:val="yellow"/>
              </w:rPr>
              <w:t>2010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2011</w:t>
            </w:r>
          </w:p>
        </w:tc>
      </w:tr>
      <w:tr w:rsidR="00C00A3D" w:rsidTr="00C00A3D">
        <w:tc>
          <w:tcPr>
            <w:tcW w:w="1493" w:type="dxa"/>
          </w:tcPr>
          <w:p w:rsidR="00C00A3D" w:rsidRDefault="00C00A3D" w:rsidP="00087B42">
            <w:pPr>
              <w:jc w:val="center"/>
            </w:pPr>
            <w:r w:rsidRPr="004A18CC">
              <w:t>auto,</w:t>
            </w:r>
          </w:p>
        </w:tc>
        <w:tc>
          <w:tcPr>
            <w:tcW w:w="865" w:type="dxa"/>
          </w:tcPr>
          <w:p w:rsidR="00C00A3D" w:rsidRDefault="00C00A3D" w:rsidP="00087B42">
            <w:pPr>
              <w:jc w:val="center"/>
            </w:pPr>
            <w:r>
              <w:t>-1</w:t>
            </w:r>
          </w:p>
        </w:tc>
        <w:tc>
          <w:tcPr>
            <w:tcW w:w="866" w:type="dxa"/>
          </w:tcPr>
          <w:p w:rsidR="00C00A3D" w:rsidRDefault="00C00A3D" w:rsidP="00087B42">
            <w:pPr>
              <w:jc w:val="center"/>
            </w:pPr>
            <w:r>
              <w:t>-10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-4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-12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-26</w:t>
            </w:r>
          </w:p>
        </w:tc>
        <w:tc>
          <w:tcPr>
            <w:tcW w:w="867" w:type="dxa"/>
          </w:tcPr>
          <w:p w:rsidR="00C00A3D" w:rsidRPr="00222CE3" w:rsidRDefault="00C00A3D" w:rsidP="00087B42">
            <w:pPr>
              <w:jc w:val="center"/>
              <w:rPr>
                <w:highlight w:val="yellow"/>
              </w:rPr>
            </w:pPr>
            <w:r w:rsidRPr="00222CE3">
              <w:rPr>
                <w:highlight w:val="yellow"/>
              </w:rPr>
              <w:t>+12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+2</w:t>
            </w:r>
          </w:p>
        </w:tc>
      </w:tr>
      <w:tr w:rsidR="00C00A3D" w:rsidTr="00C00A3D">
        <w:tc>
          <w:tcPr>
            <w:tcW w:w="1493" w:type="dxa"/>
          </w:tcPr>
          <w:p w:rsidR="00C00A3D" w:rsidRDefault="00C00A3D" w:rsidP="00087B42">
            <w:pPr>
              <w:jc w:val="center"/>
            </w:pPr>
            <w:r w:rsidRPr="004A18CC">
              <w:t>aéronautique,</w:t>
            </w:r>
          </w:p>
        </w:tc>
        <w:tc>
          <w:tcPr>
            <w:tcW w:w="865" w:type="dxa"/>
          </w:tcPr>
          <w:p w:rsidR="00C00A3D" w:rsidRDefault="00C00A3D" w:rsidP="00087B42">
            <w:pPr>
              <w:jc w:val="center"/>
            </w:pPr>
            <w:r>
              <w:t>+13</w:t>
            </w:r>
          </w:p>
        </w:tc>
        <w:tc>
          <w:tcPr>
            <w:tcW w:w="866" w:type="dxa"/>
          </w:tcPr>
          <w:p w:rsidR="00C00A3D" w:rsidRDefault="00C00A3D" w:rsidP="00087B42">
            <w:pPr>
              <w:jc w:val="center"/>
            </w:pPr>
            <w:r>
              <w:t>+10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+5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+7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-1</w:t>
            </w:r>
          </w:p>
        </w:tc>
        <w:tc>
          <w:tcPr>
            <w:tcW w:w="867" w:type="dxa"/>
          </w:tcPr>
          <w:p w:rsidR="00C00A3D" w:rsidRPr="00222CE3" w:rsidRDefault="00C00A3D" w:rsidP="00087B42">
            <w:pPr>
              <w:jc w:val="center"/>
              <w:rPr>
                <w:highlight w:val="yellow"/>
              </w:rPr>
            </w:pPr>
            <w:r w:rsidRPr="00222CE3">
              <w:rPr>
                <w:highlight w:val="yellow"/>
              </w:rPr>
              <w:t>+6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+2</w:t>
            </w:r>
          </w:p>
        </w:tc>
      </w:tr>
      <w:tr w:rsidR="00C00A3D" w:rsidTr="00C00A3D">
        <w:tc>
          <w:tcPr>
            <w:tcW w:w="1493" w:type="dxa"/>
          </w:tcPr>
          <w:p w:rsidR="00C00A3D" w:rsidRDefault="00C00A3D" w:rsidP="00087B42">
            <w:pPr>
              <w:jc w:val="center"/>
            </w:pPr>
            <w:r w:rsidRPr="004A18CC">
              <w:t xml:space="preserve">équipements </w:t>
            </w:r>
            <w:r w:rsidR="00087B42" w:rsidRPr="004A18CC">
              <w:t>électroniques</w:t>
            </w:r>
          </w:p>
        </w:tc>
        <w:tc>
          <w:tcPr>
            <w:tcW w:w="865" w:type="dxa"/>
          </w:tcPr>
          <w:p w:rsidR="00C00A3D" w:rsidRDefault="00C00A3D" w:rsidP="00087B42">
            <w:pPr>
              <w:jc w:val="center"/>
            </w:pPr>
            <w:r>
              <w:t>-3</w:t>
            </w:r>
          </w:p>
        </w:tc>
        <w:tc>
          <w:tcPr>
            <w:tcW w:w="866" w:type="dxa"/>
          </w:tcPr>
          <w:p w:rsidR="00C00A3D" w:rsidRDefault="00C00A3D" w:rsidP="00087B42">
            <w:pPr>
              <w:jc w:val="center"/>
            </w:pPr>
            <w:r>
              <w:t>+4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-2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-2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  <w:r>
              <w:t>-10</w:t>
            </w:r>
          </w:p>
        </w:tc>
        <w:tc>
          <w:tcPr>
            <w:tcW w:w="867" w:type="dxa"/>
          </w:tcPr>
          <w:p w:rsidR="00C00A3D" w:rsidRPr="00222CE3" w:rsidRDefault="00C00A3D" w:rsidP="00087B42">
            <w:pPr>
              <w:jc w:val="center"/>
              <w:rPr>
                <w:highlight w:val="yellow"/>
              </w:rPr>
            </w:pPr>
            <w:r w:rsidRPr="00222CE3">
              <w:rPr>
                <w:highlight w:val="yellow"/>
              </w:rPr>
              <w:t>+1</w:t>
            </w:r>
          </w:p>
        </w:tc>
        <w:tc>
          <w:tcPr>
            <w:tcW w:w="867" w:type="dxa"/>
          </w:tcPr>
          <w:p w:rsidR="00C00A3D" w:rsidRDefault="00C00A3D" w:rsidP="00087B42">
            <w:pPr>
              <w:jc w:val="center"/>
            </w:pPr>
          </w:p>
        </w:tc>
      </w:tr>
    </w:tbl>
    <w:p w:rsidR="004A18CC" w:rsidRDefault="004A18CC">
      <w:r w:rsidRPr="004A18CC">
        <w:t xml:space="preserve"> </w:t>
      </w:r>
    </w:p>
    <w:p w:rsidR="00BA36A4" w:rsidRPr="00BA36A4" w:rsidRDefault="006817E5">
      <w:pPr>
        <w:rPr>
          <w:b/>
        </w:rPr>
      </w:pPr>
      <w:r>
        <w:rPr>
          <w:b/>
        </w:rPr>
        <w:t>Définitions</w:t>
      </w:r>
    </w:p>
    <w:p w:rsidR="00C00A3D" w:rsidRDefault="006817E5">
      <w:r>
        <w:t xml:space="preserve">- Composant passif effectue la </w:t>
      </w:r>
      <w:r w:rsidR="00900B54">
        <w:t xml:space="preserve"> transmission du signal</w:t>
      </w:r>
      <w:r>
        <w:t>, complémentaire au composant actif </w:t>
      </w:r>
    </w:p>
    <w:p w:rsidR="00900B54" w:rsidRDefault="00900B54">
      <w:r>
        <w:t xml:space="preserve">- composant interconnexion : </w:t>
      </w:r>
      <w:r w:rsidR="00BA36A4">
        <w:t xml:space="preserve">65%de ce marché, circuit imprimé, hybrides, MCM, connecteurs, </w:t>
      </w:r>
      <w:r w:rsidR="006817E5">
        <w:t>câbles</w:t>
      </w:r>
      <w:r w:rsidR="00BA36A4">
        <w:t xml:space="preserve"> cordons</w:t>
      </w:r>
    </w:p>
    <w:p w:rsidR="00BA36A4" w:rsidRDefault="00BA36A4">
      <w:r>
        <w:t xml:space="preserve">- composants discrets : résistance fixe et variable, condensateurs, </w:t>
      </w:r>
      <w:proofErr w:type="spellStart"/>
      <w:r>
        <w:t>comp</w:t>
      </w:r>
      <w:proofErr w:type="spellEnd"/>
      <w:r>
        <w:t xml:space="preserve"> magnétiques, quartz, </w:t>
      </w:r>
      <w:proofErr w:type="spellStart"/>
      <w:r>
        <w:t>piezzo</w:t>
      </w:r>
      <w:proofErr w:type="spellEnd"/>
      <w:r>
        <w:t xml:space="preserve"> </w:t>
      </w:r>
      <w:proofErr w:type="spellStart"/>
      <w:r>
        <w:t>electrique</w:t>
      </w:r>
      <w:proofErr w:type="spellEnd"/>
    </w:p>
    <w:p w:rsidR="00BA36A4" w:rsidRDefault="00BA36A4">
      <w:r>
        <w:t xml:space="preserve">- composants d’interface : </w:t>
      </w:r>
      <w:proofErr w:type="spellStart"/>
      <w:r>
        <w:t>comp</w:t>
      </w:r>
      <w:proofErr w:type="spellEnd"/>
      <w:r>
        <w:t xml:space="preserve"> pour clavier, interrupteurs, micros, HP, antennes</w:t>
      </w:r>
    </w:p>
    <w:p w:rsidR="00BA36A4" w:rsidRPr="00A069DD" w:rsidRDefault="00771E65">
      <w:pPr>
        <w:rPr>
          <w:b/>
        </w:rPr>
      </w:pPr>
      <w:r w:rsidRPr="00A069DD">
        <w:rPr>
          <w:b/>
        </w:rPr>
        <w:t>Débouchés</w:t>
      </w:r>
      <w:r w:rsidR="00222CE3" w:rsidRPr="00A069DD">
        <w:rPr>
          <w:b/>
        </w:rPr>
        <w:t xml:space="preserve"> en PDM</w:t>
      </w:r>
      <w:r w:rsidR="00087B42">
        <w:rPr>
          <w:b/>
        </w:rPr>
        <w:t> </w:t>
      </w:r>
    </w:p>
    <w:p w:rsidR="00771E65" w:rsidRDefault="00771E65">
      <w:r>
        <w:t>Telecom 27%</w:t>
      </w:r>
    </w:p>
    <w:p w:rsidR="00771E65" w:rsidRDefault="00771E65">
      <w:r>
        <w:t>Auto 22%</w:t>
      </w:r>
    </w:p>
    <w:p w:rsidR="00771E65" w:rsidRDefault="00771E65">
      <w:r>
        <w:t>Industriel 18%</w:t>
      </w:r>
    </w:p>
    <w:p w:rsidR="00771E65" w:rsidRDefault="00771E65">
      <w:r>
        <w:t>Aéronautique, défense : 16%</w:t>
      </w:r>
    </w:p>
    <w:p w:rsidR="00771E65" w:rsidRDefault="00771E65">
      <w:r>
        <w:t>Informatique : 11%</w:t>
      </w:r>
    </w:p>
    <w:p w:rsidR="00771E65" w:rsidRDefault="00771E65">
      <w:r>
        <w:t>Grand public : 6%</w:t>
      </w:r>
    </w:p>
    <w:p w:rsidR="00A069DD" w:rsidRPr="00087B42" w:rsidRDefault="00A069DD">
      <w:pPr>
        <w:rPr>
          <w:b/>
        </w:rPr>
      </w:pPr>
      <w:r w:rsidRPr="00087B42">
        <w:rPr>
          <w:b/>
        </w:rPr>
        <w:t>Vente directe/grossistes</w:t>
      </w:r>
    </w:p>
    <w:p w:rsidR="00771E65" w:rsidRPr="00771E65" w:rsidRDefault="00771E65">
      <w:r w:rsidRPr="00A069DD">
        <w:rPr>
          <w:b/>
        </w:rPr>
        <w:t>Parts des grossistes</w:t>
      </w:r>
      <w:r w:rsidRPr="00771E65">
        <w:t> : 19% du marché des utilisateurs (assembleurs, fabricants de mat…)</w:t>
      </w:r>
    </w:p>
    <w:p w:rsidR="00771E65" w:rsidRPr="00771E65" w:rsidRDefault="00771E65">
      <w:r w:rsidRPr="00771E65">
        <w:t>Part de vente directe 81%</w:t>
      </w:r>
    </w:p>
    <w:p w:rsidR="00A069DD" w:rsidRDefault="00A069DD">
      <w:pPr>
        <w:rPr>
          <w:b/>
        </w:rPr>
      </w:pPr>
    </w:p>
    <w:p w:rsidR="0019352D" w:rsidRDefault="0019352D">
      <w:pPr>
        <w:rPr>
          <w:b/>
        </w:rPr>
      </w:pPr>
    </w:p>
    <w:p w:rsidR="0019352D" w:rsidRDefault="0019352D">
      <w:pPr>
        <w:rPr>
          <w:b/>
        </w:rPr>
      </w:pPr>
    </w:p>
    <w:p w:rsidR="0019352D" w:rsidRDefault="0019352D">
      <w:pPr>
        <w:rPr>
          <w:b/>
        </w:rPr>
      </w:pPr>
    </w:p>
    <w:p w:rsidR="00771E65" w:rsidRDefault="00771E65">
      <w:pPr>
        <w:rPr>
          <w:b/>
        </w:rPr>
      </w:pPr>
      <w:bookmarkStart w:id="0" w:name="_GoBack"/>
      <w:bookmarkEnd w:id="0"/>
      <w:r>
        <w:rPr>
          <w:b/>
        </w:rPr>
        <w:lastRenderedPageBreak/>
        <w:t>Freins et facteurs du marché en 2010</w:t>
      </w:r>
    </w:p>
    <w:tbl>
      <w:tblPr>
        <w:tblStyle w:val="Grilledutableau"/>
        <w:tblW w:w="0" w:type="auto"/>
        <w:tblLook w:val="04A0"/>
      </w:tblPr>
      <w:tblGrid>
        <w:gridCol w:w="2093"/>
        <w:gridCol w:w="3922"/>
        <w:gridCol w:w="3273"/>
      </w:tblGrid>
      <w:tr w:rsidR="00771E65" w:rsidRPr="00771E65" w:rsidTr="00771E65">
        <w:tc>
          <w:tcPr>
            <w:tcW w:w="2093" w:type="dxa"/>
          </w:tcPr>
          <w:p w:rsidR="00771E65" w:rsidRPr="00771E65" w:rsidRDefault="00771E65"/>
        </w:tc>
        <w:tc>
          <w:tcPr>
            <w:tcW w:w="3922" w:type="dxa"/>
          </w:tcPr>
          <w:p w:rsidR="00771E65" w:rsidRPr="00771E65" w:rsidRDefault="00771E65">
            <w:r w:rsidRPr="00771E65">
              <w:t>Freins</w:t>
            </w:r>
          </w:p>
        </w:tc>
        <w:tc>
          <w:tcPr>
            <w:tcW w:w="3273" w:type="dxa"/>
          </w:tcPr>
          <w:p w:rsidR="00771E65" w:rsidRPr="00771E65" w:rsidRDefault="00771E65">
            <w:r w:rsidRPr="00771E65">
              <w:t>Croissance</w:t>
            </w:r>
          </w:p>
        </w:tc>
      </w:tr>
      <w:tr w:rsidR="00771E65" w:rsidRPr="00771E65" w:rsidTr="00771E65">
        <w:tc>
          <w:tcPr>
            <w:tcW w:w="2093" w:type="dxa"/>
          </w:tcPr>
          <w:p w:rsidR="00771E65" w:rsidRPr="00771E65" w:rsidRDefault="00771E65">
            <w:r>
              <w:t>Facteur conjoncturel</w:t>
            </w:r>
          </w:p>
        </w:tc>
        <w:tc>
          <w:tcPr>
            <w:tcW w:w="3922" w:type="dxa"/>
          </w:tcPr>
          <w:p w:rsidR="00771E65" w:rsidRPr="00771E65" w:rsidRDefault="00771E65">
            <w:r>
              <w:t>Pénurie mondiale suite au frein de 2009</w:t>
            </w:r>
          </w:p>
        </w:tc>
        <w:tc>
          <w:tcPr>
            <w:tcW w:w="3273" w:type="dxa"/>
          </w:tcPr>
          <w:p w:rsidR="00F47457" w:rsidRPr="00771E65" w:rsidRDefault="00F47457">
            <w:r>
              <w:t>Reprise auto et avion. Les négociants avec des produits vont profiter de la situation</w:t>
            </w:r>
          </w:p>
        </w:tc>
      </w:tr>
      <w:tr w:rsidR="00771E65" w:rsidRPr="00771E65" w:rsidTr="00771E65">
        <w:tc>
          <w:tcPr>
            <w:tcW w:w="2093" w:type="dxa"/>
          </w:tcPr>
          <w:p w:rsidR="00771E65" w:rsidRPr="00771E65" w:rsidRDefault="00771E65">
            <w:r>
              <w:t>Facteur structurel</w:t>
            </w:r>
          </w:p>
        </w:tc>
        <w:tc>
          <w:tcPr>
            <w:tcW w:w="3922" w:type="dxa"/>
          </w:tcPr>
          <w:p w:rsidR="00771E65" w:rsidRPr="00771E65" w:rsidRDefault="00F47457" w:rsidP="00F47457">
            <w:r>
              <w:t xml:space="preserve">Baisse du </w:t>
            </w:r>
            <w:proofErr w:type="spellStart"/>
            <w:r>
              <w:t>nbre</w:t>
            </w:r>
            <w:proofErr w:type="spellEnd"/>
            <w:r>
              <w:t xml:space="preserve"> de clients des négociants en Fr, du fait de la concurrence venant de l’Asie suite aux délocalisations. Vrai aussi pour les équipementiers qui o</w:t>
            </w:r>
            <w:r w:rsidR="00A069DD">
              <w:t xml:space="preserve">nt suivi </w:t>
            </w:r>
            <w:proofErr w:type="spellStart"/>
            <w:r w:rsidR="00A069DD">
              <w:t>prod</w:t>
            </w:r>
            <w:proofErr w:type="spellEnd"/>
            <w:r w:rsidR="00A069DD">
              <w:t xml:space="preserve"> auto dans les pays à bas couts</w:t>
            </w:r>
          </w:p>
        </w:tc>
        <w:tc>
          <w:tcPr>
            <w:tcW w:w="3273" w:type="dxa"/>
          </w:tcPr>
          <w:p w:rsidR="00771E65" w:rsidRPr="00771E65" w:rsidRDefault="00F47457">
            <w:r>
              <w:t>Augmentation de la part de l’electronique dans auto, train, avion + marché énergie</w:t>
            </w:r>
          </w:p>
        </w:tc>
      </w:tr>
    </w:tbl>
    <w:p w:rsidR="00771E65" w:rsidRDefault="00771E65">
      <w:pPr>
        <w:rPr>
          <w:b/>
        </w:rPr>
      </w:pPr>
    </w:p>
    <w:p w:rsidR="00222CE3" w:rsidRDefault="00222CE3">
      <w:pPr>
        <w:rPr>
          <w:b/>
        </w:rPr>
      </w:pPr>
    </w:p>
    <w:p w:rsidR="00222CE3" w:rsidRDefault="00222CE3">
      <w:pPr>
        <w:rPr>
          <w:b/>
        </w:rPr>
      </w:pPr>
      <w:r>
        <w:rPr>
          <w:b/>
        </w:rPr>
        <w:t>Marché mondial des Semi conducteurs</w:t>
      </w:r>
    </w:p>
    <w:p w:rsidR="00222CE3" w:rsidRPr="00996627" w:rsidRDefault="00A069DD">
      <w:r>
        <w:t>Evolution des v</w:t>
      </w:r>
      <w:r w:rsidR="00222CE3" w:rsidRPr="00996627">
        <w:t>entes</w:t>
      </w:r>
    </w:p>
    <w:p w:rsidR="00222CE3" w:rsidRDefault="00996627">
      <w:r w:rsidRPr="00996627">
        <w:t>Entre + 40% en 2000, -30% en 2001, +30% en 2004, 0% en 2008, -10% en 2009 et +22% en 2010</w:t>
      </w:r>
    </w:p>
    <w:p w:rsidR="00996627" w:rsidRDefault="00996627">
      <w:r>
        <w:t>Taux de marge des distributeurs de composants : entre 41 et 42%</w:t>
      </w:r>
    </w:p>
    <w:p w:rsidR="00996627" w:rsidRPr="00087B42" w:rsidRDefault="00087B42">
      <w:pPr>
        <w:rPr>
          <w:b/>
        </w:rPr>
      </w:pPr>
      <w:r w:rsidRPr="00087B42">
        <w:rPr>
          <w:b/>
        </w:rPr>
        <w:t>Chiffres moyens du secteur du négoce de composants électroniques</w:t>
      </w:r>
    </w:p>
    <w:p w:rsidR="00996627" w:rsidRDefault="00996627">
      <w:r>
        <w:t>CA/salarié : 490K€/an</w:t>
      </w:r>
    </w:p>
    <w:p w:rsidR="00996627" w:rsidRDefault="00996627">
      <w:proofErr w:type="spellStart"/>
      <w:r>
        <w:t>Légére</w:t>
      </w:r>
      <w:proofErr w:type="spellEnd"/>
      <w:r>
        <w:t xml:space="preserve"> décrue de 25 à 23 000 pers en 3 ans</w:t>
      </w:r>
    </w:p>
    <w:p w:rsidR="00996627" w:rsidRDefault="00996627">
      <w:r>
        <w:t>Part à l’export : 6,7%</w:t>
      </w:r>
    </w:p>
    <w:p w:rsidR="00996627" w:rsidRDefault="00996627">
      <w:r>
        <w:t>RN avant impot/CA : 2,7%</w:t>
      </w:r>
    </w:p>
    <w:p w:rsidR="002F27DC" w:rsidRDefault="002F27DC">
      <w:pPr>
        <w:pBdr>
          <w:bottom w:val="single" w:sz="6" w:space="1" w:color="auto"/>
        </w:pBdr>
      </w:pPr>
    </w:p>
    <w:p w:rsidR="002F27DC" w:rsidRDefault="002F27DC"/>
    <w:p w:rsidR="00A069DD" w:rsidRDefault="002F27DC">
      <w:proofErr w:type="spellStart"/>
      <w:r>
        <w:t>Eurocomp</w:t>
      </w:r>
      <w:proofErr w:type="spellEnd"/>
      <w:r>
        <w:t xml:space="preserve"> : Julie 50%, Patrick 37%, Cecilia Yung 9%, </w:t>
      </w:r>
    </w:p>
    <w:p w:rsidR="00A069DD" w:rsidRDefault="00A069DD">
      <w:r>
        <w:t>Mme FICHOT Julie née YUNG (14.09.1949)</w:t>
      </w:r>
      <w:r w:rsidR="00DF14CA">
        <w:t>, c’est sa sœur ?</w:t>
      </w:r>
    </w:p>
    <w:p w:rsidR="002F27DC" w:rsidRDefault="002F27DC">
      <w:r>
        <w:t>21</w:t>
      </w:r>
      <w:r w:rsidR="00DF14CA">
        <w:t xml:space="preserve">éme </w:t>
      </w:r>
      <w:r>
        <w:t xml:space="preserve"> sté</w:t>
      </w:r>
      <w:r w:rsidR="00DF14CA">
        <w:t xml:space="preserve"> du secteur</w:t>
      </w:r>
    </w:p>
    <w:p w:rsidR="002F27DC" w:rsidRDefault="002F27DC"/>
    <w:p w:rsidR="002F27DC" w:rsidRDefault="002F27DC"/>
    <w:p w:rsidR="00996627" w:rsidRDefault="00996627"/>
    <w:p w:rsidR="00996627" w:rsidRPr="00996627" w:rsidRDefault="00996627"/>
    <w:p w:rsidR="00996627" w:rsidRDefault="00996627">
      <w:pPr>
        <w:rPr>
          <w:b/>
        </w:rPr>
      </w:pPr>
    </w:p>
    <w:p w:rsidR="00222CE3" w:rsidRPr="00771E65" w:rsidRDefault="00222CE3">
      <w:pPr>
        <w:rPr>
          <w:b/>
        </w:rPr>
      </w:pPr>
    </w:p>
    <w:sectPr w:rsidR="00222CE3" w:rsidRPr="00771E65" w:rsidSect="009E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C4286"/>
    <w:rsid w:val="00087B42"/>
    <w:rsid w:val="000A328C"/>
    <w:rsid w:val="0019352D"/>
    <w:rsid w:val="00222CE3"/>
    <w:rsid w:val="002C4286"/>
    <w:rsid w:val="002F27DC"/>
    <w:rsid w:val="00341206"/>
    <w:rsid w:val="003E1EFB"/>
    <w:rsid w:val="004A18CC"/>
    <w:rsid w:val="004B1CB8"/>
    <w:rsid w:val="004E37AE"/>
    <w:rsid w:val="00555C56"/>
    <w:rsid w:val="006817E5"/>
    <w:rsid w:val="00771E65"/>
    <w:rsid w:val="00900B54"/>
    <w:rsid w:val="00903AD3"/>
    <w:rsid w:val="00996627"/>
    <w:rsid w:val="009E5966"/>
    <w:rsid w:val="00A069DD"/>
    <w:rsid w:val="00BA36A4"/>
    <w:rsid w:val="00BF3F7A"/>
    <w:rsid w:val="00C00A3D"/>
    <w:rsid w:val="00C80922"/>
    <w:rsid w:val="00CB4EA2"/>
    <w:rsid w:val="00DF14CA"/>
    <w:rsid w:val="00E0680A"/>
    <w:rsid w:val="00F47457"/>
    <w:rsid w:val="00FA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3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2011-07-12T05:29:00Z</dcterms:created>
  <dcterms:modified xsi:type="dcterms:W3CDTF">2011-07-12T05:29:00Z</dcterms:modified>
</cp:coreProperties>
</file>