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7B" w:rsidRDefault="007F5F9B" w:rsidP="00B12E06">
      <w:pPr>
        <w:pStyle w:val="Titre"/>
        <w:pBdr>
          <w:top w:val="double" w:sz="4" w:space="0" w:color="auto"/>
        </w:pBdr>
        <w:ind w:firstLine="709"/>
        <w:jc w:val="left"/>
        <w:rPr>
          <w:b/>
          <w:bCs/>
          <w:sz w:val="32"/>
          <w:szCs w:val="32"/>
        </w:rPr>
      </w:pPr>
      <w:r>
        <w:rPr>
          <w:b/>
          <w:bCs/>
          <w:sz w:val="32"/>
          <w:szCs w:val="32"/>
        </w:rPr>
        <w:t>Offre de reprise de</w:t>
      </w:r>
      <w:r w:rsidR="005D6D4E">
        <w:rPr>
          <w:b/>
          <w:bCs/>
          <w:sz w:val="32"/>
          <w:szCs w:val="32"/>
        </w:rPr>
        <w:t>s actifs de</w:t>
      </w:r>
      <w:r>
        <w:rPr>
          <w:b/>
          <w:bCs/>
          <w:sz w:val="32"/>
          <w:szCs w:val="32"/>
        </w:rPr>
        <w:t xml:space="preserve"> la société </w:t>
      </w:r>
      <w:r w:rsidR="005D6D4E">
        <w:rPr>
          <w:b/>
          <w:bCs/>
          <w:sz w:val="32"/>
          <w:szCs w:val="32"/>
        </w:rPr>
        <w:t>INOVESSENCE</w:t>
      </w:r>
    </w:p>
    <w:p w:rsidR="0010067B" w:rsidRDefault="0010067B">
      <w:pPr>
        <w:ind w:firstLine="708"/>
        <w:jc w:val="both"/>
        <w:rPr>
          <w:sz w:val="24"/>
        </w:rPr>
      </w:pPr>
    </w:p>
    <w:p w:rsidR="008358AF" w:rsidRPr="00E24C14" w:rsidRDefault="008358AF" w:rsidP="008358AF">
      <w:pPr>
        <w:ind w:left="4247" w:firstLine="709"/>
        <w:rPr>
          <w:sz w:val="16"/>
        </w:rPr>
      </w:pPr>
      <w:r w:rsidRPr="00E24C14">
        <w:rPr>
          <w:b/>
        </w:rPr>
        <w:t>A Maître Bernard Jumel</w:t>
      </w:r>
    </w:p>
    <w:p w:rsidR="008358AF" w:rsidRDefault="008358AF" w:rsidP="008358AF">
      <w:pPr>
        <w:ind w:left="4248" w:firstLine="708"/>
      </w:pPr>
      <w:r>
        <w:t>2, Square Lafayette</w:t>
      </w:r>
    </w:p>
    <w:p w:rsidR="008358AF" w:rsidRDefault="008358AF" w:rsidP="008358AF">
      <w:pPr>
        <w:ind w:left="4248" w:firstLine="708"/>
      </w:pPr>
      <w:r>
        <w:t>49100 – Angers</w:t>
      </w:r>
    </w:p>
    <w:p w:rsidR="008358AF" w:rsidRDefault="008358AF" w:rsidP="008358AF"/>
    <w:p w:rsidR="008358AF" w:rsidRDefault="008358AF" w:rsidP="008358AF">
      <w:pPr>
        <w:ind w:left="4248" w:firstLine="708"/>
      </w:pPr>
      <w:r>
        <w:t>Milly la Forêt, le 7 Juin 2010.</w:t>
      </w:r>
    </w:p>
    <w:p w:rsidR="00B12E06" w:rsidRDefault="00B12E06">
      <w:pPr>
        <w:ind w:firstLine="708"/>
        <w:jc w:val="both"/>
        <w:rPr>
          <w:sz w:val="24"/>
        </w:rPr>
      </w:pPr>
    </w:p>
    <w:p w:rsidR="0010067B" w:rsidRDefault="0010067B">
      <w:pPr>
        <w:ind w:firstLine="708"/>
        <w:jc w:val="both"/>
        <w:rPr>
          <w:sz w:val="24"/>
        </w:rPr>
      </w:pPr>
    </w:p>
    <w:p w:rsidR="0010067B" w:rsidRDefault="007F5F9B">
      <w:pPr>
        <w:jc w:val="both"/>
        <w:rPr>
          <w:sz w:val="24"/>
        </w:rPr>
      </w:pPr>
      <w:r>
        <w:rPr>
          <w:sz w:val="24"/>
        </w:rPr>
        <w:t>Maître,</w:t>
      </w:r>
    </w:p>
    <w:p w:rsidR="0010067B" w:rsidRDefault="0010067B">
      <w:pPr>
        <w:jc w:val="both"/>
        <w:rPr>
          <w:sz w:val="24"/>
        </w:rPr>
      </w:pPr>
    </w:p>
    <w:p w:rsidR="0010067B" w:rsidRDefault="0010067B">
      <w:pPr>
        <w:jc w:val="both"/>
        <w:rPr>
          <w:sz w:val="24"/>
        </w:rPr>
      </w:pPr>
    </w:p>
    <w:p w:rsidR="0010067B" w:rsidRDefault="007F5F9B">
      <w:pPr>
        <w:ind w:firstLine="708"/>
        <w:jc w:val="both"/>
        <w:rPr>
          <w:sz w:val="24"/>
        </w:rPr>
      </w:pPr>
      <w:r>
        <w:rPr>
          <w:sz w:val="24"/>
        </w:rPr>
        <w:t xml:space="preserve">En vertu des dispositions du Nouveau Code de Commerce dans ses articles L.621-57 et L.622-17 du Nouveau Code de Commerce, nous avons l’honneur de vous remettre ci-après l’offre de rachat </w:t>
      </w:r>
      <w:r w:rsidR="005D6D4E">
        <w:rPr>
          <w:sz w:val="24"/>
        </w:rPr>
        <w:t xml:space="preserve">des actifs et des contrats de travail </w:t>
      </w:r>
      <w:r>
        <w:rPr>
          <w:sz w:val="24"/>
        </w:rPr>
        <w:t xml:space="preserve">dépendant de la société </w:t>
      </w:r>
      <w:r w:rsidR="005D6D4E">
        <w:rPr>
          <w:sz w:val="24"/>
        </w:rPr>
        <w:t xml:space="preserve">INOVESSENCE </w:t>
      </w:r>
      <w:r>
        <w:rPr>
          <w:sz w:val="24"/>
        </w:rPr>
        <w:t xml:space="preserve">et </w:t>
      </w:r>
      <w:r w:rsidR="005D6D4E">
        <w:rPr>
          <w:sz w:val="24"/>
        </w:rPr>
        <w:t>qui s’est déclarée en cessation de paiement auprès du Tribunal d’Angers en date du 26 avril dernier.</w:t>
      </w:r>
      <w:r>
        <w:rPr>
          <w:sz w:val="24"/>
        </w:rPr>
        <w:t xml:space="preserve"> </w:t>
      </w:r>
    </w:p>
    <w:p w:rsidR="0010067B" w:rsidRDefault="0010067B">
      <w:pPr>
        <w:ind w:firstLine="708"/>
        <w:jc w:val="both"/>
        <w:rPr>
          <w:sz w:val="24"/>
        </w:rPr>
      </w:pPr>
    </w:p>
    <w:p w:rsidR="0010067B" w:rsidRDefault="007F5F9B">
      <w:pPr>
        <w:pStyle w:val="Corpsdetexte"/>
      </w:pPr>
      <w:r>
        <w:tab/>
        <w:t>L’offre ci-après concerne un ensemble d’éléments d’actifs qui correspondent, conformément aux dispositions du Nouveau Code de Commerce, à une branche d’activité de la société précitée, susceptible d’une exploitation autonome.</w:t>
      </w:r>
    </w:p>
    <w:p w:rsidR="0010067B" w:rsidRDefault="0010067B">
      <w:pPr>
        <w:pStyle w:val="Corpsdetexte"/>
      </w:pPr>
    </w:p>
    <w:p w:rsidR="0010067B" w:rsidRDefault="007F5F9B">
      <w:pPr>
        <w:jc w:val="both"/>
        <w:rPr>
          <w:sz w:val="24"/>
        </w:rPr>
      </w:pPr>
      <w:r>
        <w:rPr>
          <w:sz w:val="24"/>
        </w:rPr>
        <w:tab/>
        <w:t>Cette proposition a été établie sur la base des éléments qui nous ont été communiqués.</w:t>
      </w:r>
    </w:p>
    <w:p w:rsidR="0010067B" w:rsidRDefault="0010067B">
      <w:pPr>
        <w:jc w:val="both"/>
        <w:rPr>
          <w:sz w:val="24"/>
        </w:rPr>
      </w:pPr>
    </w:p>
    <w:p w:rsidR="0010067B" w:rsidRDefault="007F5F9B">
      <w:pPr>
        <w:jc w:val="both"/>
        <w:rPr>
          <w:i/>
          <w:sz w:val="24"/>
        </w:rPr>
      </w:pPr>
      <w:r>
        <w:rPr>
          <w:sz w:val="24"/>
        </w:rPr>
        <w:tab/>
        <w:t xml:space="preserve">Par la reprise de </w:t>
      </w:r>
      <w:r w:rsidR="005D6D4E">
        <w:rPr>
          <w:sz w:val="24"/>
        </w:rPr>
        <w:t xml:space="preserve">ces actifs, </w:t>
      </w:r>
      <w:r>
        <w:rPr>
          <w:sz w:val="24"/>
        </w:rPr>
        <w:t>notre société</w:t>
      </w:r>
      <w:r w:rsidR="005D6D4E">
        <w:rPr>
          <w:sz w:val="24"/>
        </w:rPr>
        <w:t xml:space="preserve"> LABORATOIRES EONA</w:t>
      </w:r>
      <w:r>
        <w:rPr>
          <w:sz w:val="24"/>
        </w:rPr>
        <w:t xml:space="preserve"> s’attache à </w:t>
      </w:r>
      <w:r w:rsidR="005D6D4E">
        <w:rPr>
          <w:sz w:val="24"/>
        </w:rPr>
        <w:t>développer son offre auprès de la clientèle des maisons de retraite.</w:t>
      </w:r>
    </w:p>
    <w:p w:rsidR="0010067B" w:rsidRDefault="0010067B">
      <w:pPr>
        <w:jc w:val="both"/>
        <w:rPr>
          <w:sz w:val="18"/>
        </w:rPr>
      </w:pPr>
    </w:p>
    <w:p w:rsidR="0010067B" w:rsidRDefault="0010067B">
      <w:pPr>
        <w:pStyle w:val="Corpsdetexte"/>
      </w:pPr>
    </w:p>
    <w:p w:rsidR="0010067B" w:rsidRDefault="007F5F9B">
      <w:pPr>
        <w:pStyle w:val="Corpsdetexte"/>
      </w:pPr>
      <w:r>
        <w:t>Notre proposition est la suivante :</w:t>
      </w:r>
    </w:p>
    <w:p w:rsidR="0010067B" w:rsidRDefault="0010067B">
      <w:pPr>
        <w:jc w:val="both"/>
        <w:rPr>
          <w:sz w:val="24"/>
        </w:rPr>
      </w:pPr>
    </w:p>
    <w:p w:rsidR="0010067B" w:rsidRDefault="007F5F9B">
      <w:pPr>
        <w:pStyle w:val="Titre2"/>
      </w:pPr>
      <w:r>
        <w:t>1 Périmètre de la reprise offerte</w:t>
      </w:r>
    </w:p>
    <w:p w:rsidR="0010067B" w:rsidRDefault="0010067B">
      <w:pPr>
        <w:jc w:val="both"/>
        <w:rPr>
          <w:b/>
          <w:sz w:val="24"/>
        </w:rPr>
      </w:pPr>
    </w:p>
    <w:p w:rsidR="0010067B" w:rsidRDefault="007F5F9B">
      <w:pPr>
        <w:ind w:firstLine="709"/>
        <w:jc w:val="both"/>
        <w:rPr>
          <w:b/>
          <w:sz w:val="24"/>
        </w:rPr>
      </w:pPr>
      <w:r>
        <w:rPr>
          <w:b/>
          <w:sz w:val="24"/>
        </w:rPr>
        <w:t>1.1 Actifs immobilisés</w:t>
      </w:r>
    </w:p>
    <w:p w:rsidR="0010067B" w:rsidRDefault="0010067B">
      <w:pPr>
        <w:jc w:val="both"/>
        <w:rPr>
          <w:b/>
          <w:sz w:val="24"/>
        </w:rPr>
      </w:pPr>
    </w:p>
    <w:p w:rsidR="0010067B" w:rsidRDefault="007F5F9B">
      <w:pPr>
        <w:ind w:left="709" w:firstLine="709"/>
        <w:jc w:val="both"/>
        <w:rPr>
          <w:sz w:val="24"/>
        </w:rPr>
      </w:pPr>
      <w:r>
        <w:rPr>
          <w:sz w:val="24"/>
        </w:rPr>
        <w:t>1.1.1 Eléments incorporels</w:t>
      </w:r>
    </w:p>
    <w:p w:rsidR="0010067B" w:rsidRDefault="0010067B">
      <w:pPr>
        <w:jc w:val="both"/>
        <w:rPr>
          <w:sz w:val="24"/>
        </w:rPr>
      </w:pPr>
    </w:p>
    <w:p w:rsidR="0010067B" w:rsidRDefault="007F5F9B">
      <w:pPr>
        <w:numPr>
          <w:ilvl w:val="0"/>
          <w:numId w:val="3"/>
        </w:numPr>
        <w:jc w:val="both"/>
        <w:rPr>
          <w:sz w:val="24"/>
        </w:rPr>
      </w:pPr>
      <w:r>
        <w:rPr>
          <w:sz w:val="24"/>
        </w:rPr>
        <w:t>Clientèle et achalandage</w:t>
      </w:r>
    </w:p>
    <w:p w:rsidR="0010067B" w:rsidRDefault="007F5F9B">
      <w:pPr>
        <w:numPr>
          <w:ilvl w:val="0"/>
          <w:numId w:val="3"/>
        </w:numPr>
        <w:jc w:val="both"/>
        <w:rPr>
          <w:sz w:val="24"/>
        </w:rPr>
      </w:pPr>
      <w:r>
        <w:rPr>
          <w:sz w:val="24"/>
        </w:rPr>
        <w:t>Totalité des droits de propriété industrielle</w:t>
      </w:r>
    </w:p>
    <w:p w:rsidR="0010067B" w:rsidRDefault="0010067B">
      <w:pPr>
        <w:jc w:val="both"/>
        <w:rPr>
          <w:sz w:val="24"/>
        </w:rPr>
      </w:pPr>
    </w:p>
    <w:p w:rsidR="0010067B" w:rsidRDefault="007F5F9B">
      <w:pPr>
        <w:jc w:val="both"/>
        <w:rPr>
          <w:sz w:val="24"/>
        </w:rPr>
      </w:pPr>
      <w:r>
        <w:rPr>
          <w:sz w:val="24"/>
        </w:rPr>
        <w:t>Et plus généralement, tous les droits attachés au fonds de commerce en cause.</w:t>
      </w:r>
    </w:p>
    <w:p w:rsidR="0010067B" w:rsidRDefault="0010067B">
      <w:pPr>
        <w:jc w:val="both"/>
        <w:rPr>
          <w:sz w:val="24"/>
        </w:rPr>
      </w:pPr>
    </w:p>
    <w:p w:rsidR="0010067B" w:rsidRDefault="007F5F9B">
      <w:pPr>
        <w:ind w:left="708" w:firstLine="708"/>
        <w:jc w:val="both"/>
        <w:rPr>
          <w:sz w:val="24"/>
        </w:rPr>
      </w:pPr>
      <w:r>
        <w:rPr>
          <w:sz w:val="24"/>
        </w:rPr>
        <w:t>1.1.2 Eléments corporels</w:t>
      </w:r>
    </w:p>
    <w:p w:rsidR="0010067B" w:rsidRDefault="0010067B">
      <w:pPr>
        <w:jc w:val="both"/>
        <w:rPr>
          <w:sz w:val="24"/>
        </w:rPr>
      </w:pPr>
    </w:p>
    <w:p w:rsidR="0010067B" w:rsidRDefault="007F5F9B">
      <w:pPr>
        <w:ind w:left="1416" w:firstLine="708"/>
        <w:jc w:val="both"/>
        <w:rPr>
          <w:sz w:val="24"/>
        </w:rPr>
      </w:pPr>
      <w:r>
        <w:rPr>
          <w:sz w:val="24"/>
        </w:rPr>
        <w:t>1.1.2.1 Meubles</w:t>
      </w:r>
    </w:p>
    <w:p w:rsidR="0010067B" w:rsidRDefault="0010067B">
      <w:pPr>
        <w:jc w:val="both"/>
        <w:rPr>
          <w:sz w:val="24"/>
        </w:rPr>
      </w:pPr>
    </w:p>
    <w:p w:rsidR="0010067B" w:rsidRDefault="007F5F9B" w:rsidP="00DD4D57">
      <w:pPr>
        <w:jc w:val="both"/>
        <w:rPr>
          <w:sz w:val="24"/>
        </w:rPr>
      </w:pPr>
      <w:r>
        <w:rPr>
          <w:sz w:val="24"/>
        </w:rPr>
        <w:t>L’ensemble du matériel et de l’outillage servant à l’exploitation</w:t>
      </w:r>
      <w:r w:rsidR="00DD4D57">
        <w:rPr>
          <w:sz w:val="24"/>
        </w:rPr>
        <w:t xml:space="preserve">. </w:t>
      </w:r>
    </w:p>
    <w:p w:rsidR="0010067B" w:rsidRDefault="007F5F9B">
      <w:pPr>
        <w:jc w:val="both"/>
        <w:rPr>
          <w:sz w:val="24"/>
        </w:rPr>
      </w:pPr>
      <w:r>
        <w:rPr>
          <w:sz w:val="24"/>
        </w:rPr>
        <w:t>Le mobilier et le matériel de bureau</w:t>
      </w:r>
    </w:p>
    <w:p w:rsidR="0010067B" w:rsidRDefault="0010067B">
      <w:pPr>
        <w:jc w:val="both"/>
        <w:rPr>
          <w:sz w:val="24"/>
        </w:rPr>
      </w:pPr>
    </w:p>
    <w:p w:rsidR="0010067B" w:rsidRDefault="007F5F9B">
      <w:pPr>
        <w:ind w:left="1416" w:firstLine="708"/>
        <w:jc w:val="both"/>
        <w:rPr>
          <w:sz w:val="24"/>
        </w:rPr>
      </w:pPr>
      <w:r>
        <w:rPr>
          <w:sz w:val="24"/>
        </w:rPr>
        <w:t>1.1.2.2 Immeubles</w:t>
      </w:r>
    </w:p>
    <w:p w:rsidR="0010067B" w:rsidRDefault="0010067B">
      <w:pPr>
        <w:jc w:val="both"/>
        <w:rPr>
          <w:sz w:val="24"/>
        </w:rPr>
      </w:pPr>
    </w:p>
    <w:p w:rsidR="0010067B" w:rsidRDefault="00DD4D57">
      <w:pPr>
        <w:jc w:val="both"/>
        <w:rPr>
          <w:sz w:val="24"/>
        </w:rPr>
      </w:pPr>
      <w:r>
        <w:rPr>
          <w:sz w:val="24"/>
        </w:rPr>
        <w:t>Néant</w:t>
      </w:r>
    </w:p>
    <w:p w:rsidR="00DD4D57" w:rsidRDefault="00DD4D57">
      <w:pPr>
        <w:jc w:val="both"/>
        <w:rPr>
          <w:sz w:val="24"/>
        </w:rPr>
      </w:pPr>
    </w:p>
    <w:p w:rsidR="0010067B" w:rsidRDefault="007F5F9B">
      <w:pPr>
        <w:ind w:firstLine="708"/>
        <w:jc w:val="both"/>
        <w:rPr>
          <w:b/>
          <w:sz w:val="24"/>
        </w:rPr>
      </w:pPr>
      <w:r>
        <w:rPr>
          <w:b/>
          <w:sz w:val="24"/>
        </w:rPr>
        <w:t>1.2 Stocks de la société</w:t>
      </w:r>
    </w:p>
    <w:p w:rsidR="0010067B" w:rsidRDefault="0010067B">
      <w:pPr>
        <w:jc w:val="both"/>
        <w:rPr>
          <w:b/>
          <w:sz w:val="24"/>
        </w:rPr>
      </w:pPr>
    </w:p>
    <w:p w:rsidR="0010067B" w:rsidRDefault="007F5F9B">
      <w:pPr>
        <w:pStyle w:val="Titre1"/>
      </w:pPr>
      <w:r>
        <w:t>Nous proposons de reprendre l’ensemble des stocks, matières premières, matières consommables, en cours et produits finis correspondant à des demandes en cours, dans les conditions suivantes ;</w:t>
      </w:r>
    </w:p>
    <w:p w:rsidR="0010067B" w:rsidRDefault="0010067B">
      <w:pPr>
        <w:rPr>
          <w:sz w:val="24"/>
        </w:rPr>
      </w:pPr>
    </w:p>
    <w:p w:rsidR="0010067B" w:rsidRDefault="007F5F9B">
      <w:pPr>
        <w:rPr>
          <w:sz w:val="24"/>
        </w:rPr>
      </w:pPr>
      <w:r>
        <w:rPr>
          <w:sz w:val="24"/>
        </w:rPr>
        <w:t xml:space="preserve">Rachat forfaitaire de l’ensemble du stock pour le prix global, ferme et définitif de </w:t>
      </w:r>
      <w:r w:rsidR="00DD4D57">
        <w:rPr>
          <w:sz w:val="24"/>
        </w:rPr>
        <w:t xml:space="preserve">2000 </w:t>
      </w:r>
      <w:r>
        <w:rPr>
          <w:sz w:val="24"/>
        </w:rPr>
        <w:t xml:space="preserve">euros, payables </w:t>
      </w:r>
      <w:r w:rsidR="00DD4D57">
        <w:rPr>
          <w:sz w:val="24"/>
        </w:rPr>
        <w:t>immédiatement.</w:t>
      </w:r>
    </w:p>
    <w:p w:rsidR="0010067B" w:rsidRDefault="0010067B">
      <w:pPr>
        <w:jc w:val="both"/>
        <w:rPr>
          <w:sz w:val="24"/>
        </w:rPr>
      </w:pPr>
    </w:p>
    <w:p w:rsidR="0010067B" w:rsidRDefault="0010067B">
      <w:pPr>
        <w:jc w:val="both"/>
        <w:rPr>
          <w:sz w:val="24"/>
        </w:rPr>
      </w:pPr>
    </w:p>
    <w:p w:rsidR="0010067B" w:rsidRDefault="007F5F9B">
      <w:pPr>
        <w:pStyle w:val="Titre2"/>
      </w:pPr>
      <w:r>
        <w:t>2 Conditions de la reprise</w:t>
      </w:r>
    </w:p>
    <w:p w:rsidR="0010067B" w:rsidRDefault="0010067B">
      <w:pPr>
        <w:jc w:val="both"/>
        <w:rPr>
          <w:b/>
          <w:sz w:val="24"/>
          <w:u w:val="single"/>
        </w:rPr>
      </w:pPr>
    </w:p>
    <w:p w:rsidR="0010067B" w:rsidRDefault="0010067B">
      <w:pPr>
        <w:jc w:val="both"/>
        <w:rPr>
          <w:b/>
          <w:sz w:val="24"/>
          <w:u w:val="single"/>
        </w:rPr>
      </w:pPr>
    </w:p>
    <w:p w:rsidR="0010067B" w:rsidRDefault="007F5F9B">
      <w:pPr>
        <w:ind w:firstLine="709"/>
        <w:jc w:val="both"/>
        <w:rPr>
          <w:b/>
          <w:sz w:val="24"/>
        </w:rPr>
      </w:pPr>
      <w:r>
        <w:rPr>
          <w:b/>
          <w:sz w:val="24"/>
        </w:rPr>
        <w:t>2.1 Conditions financières</w:t>
      </w:r>
    </w:p>
    <w:p w:rsidR="0010067B" w:rsidRDefault="0010067B">
      <w:pPr>
        <w:jc w:val="both"/>
        <w:rPr>
          <w:b/>
          <w:sz w:val="24"/>
        </w:rPr>
      </w:pPr>
    </w:p>
    <w:p w:rsidR="0010067B" w:rsidRDefault="007F5F9B">
      <w:pPr>
        <w:pStyle w:val="Retraitcorpsdetexte"/>
        <w:rPr>
          <w:rFonts w:ascii="Times New Roman" w:hAnsi="Times New Roman"/>
          <w:sz w:val="24"/>
        </w:rPr>
      </w:pPr>
      <w:r>
        <w:rPr>
          <w:rFonts w:ascii="Times New Roman" w:hAnsi="Times New Roman"/>
          <w:sz w:val="24"/>
        </w:rPr>
        <w:t>Nous verserons aux organes de la procédure, en plus du prix des stocks, une somme répartie comme suit :</w:t>
      </w:r>
    </w:p>
    <w:p w:rsidR="0010067B" w:rsidRDefault="0010067B" w:rsidP="000F7E84">
      <w:pPr>
        <w:jc w:val="both"/>
        <w:rPr>
          <w:sz w:val="24"/>
        </w:rPr>
      </w:pPr>
    </w:p>
    <w:p w:rsidR="0010067B" w:rsidRDefault="007F5F9B">
      <w:pPr>
        <w:jc w:val="both"/>
        <w:rPr>
          <w:sz w:val="24"/>
        </w:rPr>
      </w:pPr>
      <w:r>
        <w:rPr>
          <w:sz w:val="24"/>
        </w:rPr>
        <w:t xml:space="preserve">applicable aux éléments incorporels pour </w:t>
      </w:r>
      <w:r w:rsidR="000F7E84">
        <w:rPr>
          <w:sz w:val="24"/>
        </w:rPr>
        <w:t xml:space="preserve">3000 </w:t>
      </w:r>
      <w:r>
        <w:rPr>
          <w:sz w:val="24"/>
        </w:rPr>
        <w:t>euros</w:t>
      </w:r>
    </w:p>
    <w:p w:rsidR="0010067B" w:rsidRDefault="0010067B">
      <w:pPr>
        <w:jc w:val="both"/>
        <w:rPr>
          <w:sz w:val="24"/>
        </w:rPr>
      </w:pPr>
    </w:p>
    <w:p w:rsidR="000F7E84" w:rsidRDefault="000F7E84">
      <w:pPr>
        <w:jc w:val="both"/>
        <w:rPr>
          <w:sz w:val="24"/>
        </w:rPr>
      </w:pPr>
    </w:p>
    <w:p w:rsidR="0010067B" w:rsidRDefault="007F5F9B">
      <w:pPr>
        <w:ind w:firstLine="709"/>
        <w:jc w:val="both"/>
        <w:rPr>
          <w:b/>
          <w:sz w:val="24"/>
        </w:rPr>
      </w:pPr>
      <w:r>
        <w:rPr>
          <w:b/>
          <w:sz w:val="24"/>
        </w:rPr>
        <w:t>2.2 Conditions particulières</w:t>
      </w:r>
    </w:p>
    <w:p w:rsidR="0010067B" w:rsidRDefault="0010067B">
      <w:pPr>
        <w:jc w:val="both"/>
        <w:rPr>
          <w:b/>
          <w:sz w:val="24"/>
        </w:rPr>
      </w:pPr>
    </w:p>
    <w:p w:rsidR="0010067B" w:rsidRDefault="007F5F9B">
      <w:pPr>
        <w:ind w:left="709" w:firstLine="709"/>
        <w:jc w:val="both"/>
        <w:rPr>
          <w:sz w:val="24"/>
        </w:rPr>
      </w:pPr>
      <w:r>
        <w:rPr>
          <w:sz w:val="24"/>
        </w:rPr>
        <w:t>2.2.1 Contrats de travail</w:t>
      </w:r>
    </w:p>
    <w:p w:rsidR="0010067B" w:rsidRDefault="0010067B">
      <w:pPr>
        <w:jc w:val="both"/>
        <w:rPr>
          <w:sz w:val="24"/>
        </w:rPr>
      </w:pPr>
    </w:p>
    <w:p w:rsidR="0010067B" w:rsidRDefault="007F5F9B">
      <w:pPr>
        <w:pStyle w:val="Retraitcorpsdetexte"/>
        <w:rPr>
          <w:rFonts w:ascii="Times New Roman" w:hAnsi="Times New Roman"/>
          <w:sz w:val="24"/>
        </w:rPr>
      </w:pPr>
      <w:r>
        <w:rPr>
          <w:rFonts w:ascii="Times New Roman" w:hAnsi="Times New Roman"/>
          <w:sz w:val="24"/>
        </w:rPr>
        <w:t xml:space="preserve">Nous assurons la reprise de </w:t>
      </w:r>
      <w:r w:rsidR="00DD4D57">
        <w:rPr>
          <w:rFonts w:ascii="Times New Roman" w:hAnsi="Times New Roman"/>
          <w:sz w:val="24"/>
        </w:rPr>
        <w:t>Lydie GERBAULT</w:t>
      </w:r>
      <w:r>
        <w:rPr>
          <w:rFonts w:ascii="Times New Roman" w:hAnsi="Times New Roman"/>
          <w:sz w:val="24"/>
        </w:rPr>
        <w:t xml:space="preserve"> </w:t>
      </w:r>
      <w:r w:rsidR="00DD4D57">
        <w:rPr>
          <w:rFonts w:ascii="Times New Roman" w:hAnsi="Times New Roman"/>
          <w:sz w:val="24"/>
        </w:rPr>
        <w:t>en tant que responsable technico-commerciale du pôle Maisons de retraite au sein des Laboratoires EONA.</w:t>
      </w:r>
    </w:p>
    <w:p w:rsidR="0010067B" w:rsidRDefault="0010067B">
      <w:pPr>
        <w:jc w:val="both"/>
        <w:rPr>
          <w:sz w:val="24"/>
        </w:rPr>
      </w:pPr>
    </w:p>
    <w:p w:rsidR="0010067B" w:rsidRDefault="007F5F9B">
      <w:pPr>
        <w:jc w:val="both"/>
        <w:rPr>
          <w:sz w:val="24"/>
        </w:rPr>
      </w:pPr>
      <w:r>
        <w:rPr>
          <w:sz w:val="24"/>
        </w:rPr>
        <w:t>Les indemnités de congés payés ainsi que toutes les autres charges (primes semestrielles ou annuelles, charges soc</w:t>
      </w:r>
      <w:r w:rsidR="00DD4D57">
        <w:rPr>
          <w:sz w:val="24"/>
        </w:rPr>
        <w:t>iales de toutes nature) liées à son contrat</w:t>
      </w:r>
      <w:r>
        <w:rPr>
          <w:sz w:val="24"/>
        </w:rPr>
        <w:t xml:space="preserve"> de travail dues au titre de la période antérieure à la date de notre entrée en jouissance, demeureront à la charge des organes de la procédure.</w:t>
      </w:r>
    </w:p>
    <w:p w:rsidR="0010067B" w:rsidRDefault="0010067B">
      <w:pPr>
        <w:jc w:val="both"/>
        <w:rPr>
          <w:sz w:val="24"/>
        </w:rPr>
      </w:pPr>
    </w:p>
    <w:p w:rsidR="0010067B" w:rsidRDefault="007F5F9B">
      <w:pPr>
        <w:ind w:left="709" w:firstLine="709"/>
        <w:jc w:val="both"/>
        <w:rPr>
          <w:sz w:val="24"/>
        </w:rPr>
      </w:pPr>
      <w:r>
        <w:rPr>
          <w:sz w:val="24"/>
        </w:rPr>
        <w:t>2.2.2 Contrats commerciaux et divers en cours</w:t>
      </w:r>
    </w:p>
    <w:p w:rsidR="0010067B" w:rsidRDefault="0010067B">
      <w:pPr>
        <w:jc w:val="both"/>
        <w:rPr>
          <w:sz w:val="24"/>
        </w:rPr>
      </w:pPr>
    </w:p>
    <w:p w:rsidR="0010067B" w:rsidRDefault="007F5F9B" w:rsidP="00840854">
      <w:pPr>
        <w:jc w:val="both"/>
        <w:rPr>
          <w:sz w:val="24"/>
        </w:rPr>
      </w:pPr>
      <w:r>
        <w:rPr>
          <w:sz w:val="24"/>
        </w:rPr>
        <w:t xml:space="preserve">Nous </w:t>
      </w:r>
      <w:r w:rsidR="00840854">
        <w:rPr>
          <w:sz w:val="24"/>
        </w:rPr>
        <w:t xml:space="preserve">ne </w:t>
      </w:r>
      <w:r>
        <w:rPr>
          <w:sz w:val="24"/>
        </w:rPr>
        <w:t xml:space="preserve">reprendrons </w:t>
      </w:r>
      <w:r w:rsidR="00840854">
        <w:rPr>
          <w:sz w:val="24"/>
        </w:rPr>
        <w:t>aucun</w:t>
      </w:r>
      <w:r>
        <w:rPr>
          <w:sz w:val="24"/>
        </w:rPr>
        <w:t xml:space="preserve"> des contrats en cours </w:t>
      </w:r>
      <w:r w:rsidR="00840854">
        <w:rPr>
          <w:sz w:val="24"/>
        </w:rPr>
        <w:t>sauf avis contraire de Jacques DALIBARD et Lydie GERBAULT qui nous le conseillerait auquel cas une liste contradictoire des contrats à reprendre serait à  établir.</w:t>
      </w:r>
    </w:p>
    <w:p w:rsidR="0010067B" w:rsidRDefault="0010067B">
      <w:pPr>
        <w:jc w:val="both"/>
        <w:rPr>
          <w:sz w:val="24"/>
        </w:rPr>
      </w:pPr>
    </w:p>
    <w:p w:rsidR="0010067B" w:rsidRDefault="0010067B">
      <w:pPr>
        <w:jc w:val="both"/>
        <w:rPr>
          <w:sz w:val="24"/>
        </w:rPr>
      </w:pPr>
    </w:p>
    <w:p w:rsidR="0010067B" w:rsidRDefault="007F5F9B">
      <w:pPr>
        <w:ind w:firstLine="709"/>
        <w:jc w:val="both"/>
        <w:rPr>
          <w:b/>
          <w:sz w:val="24"/>
        </w:rPr>
      </w:pPr>
      <w:r>
        <w:rPr>
          <w:b/>
          <w:sz w:val="24"/>
        </w:rPr>
        <w:t>2.3 Conditions générales</w:t>
      </w:r>
    </w:p>
    <w:p w:rsidR="0010067B" w:rsidRDefault="0010067B">
      <w:pPr>
        <w:jc w:val="both"/>
        <w:rPr>
          <w:b/>
          <w:sz w:val="24"/>
        </w:rPr>
      </w:pPr>
    </w:p>
    <w:p w:rsidR="0010067B" w:rsidRDefault="007F5F9B">
      <w:pPr>
        <w:jc w:val="both"/>
        <w:rPr>
          <w:sz w:val="24"/>
        </w:rPr>
      </w:pPr>
      <w:r>
        <w:rPr>
          <w:sz w:val="24"/>
        </w:rPr>
        <w:t>Nous reprendrons les actifs visés selon les usages habituels, notamment :</w:t>
      </w:r>
    </w:p>
    <w:p w:rsidR="0010067B" w:rsidRDefault="007F5F9B">
      <w:pPr>
        <w:numPr>
          <w:ilvl w:val="0"/>
          <w:numId w:val="3"/>
        </w:numPr>
        <w:jc w:val="both"/>
        <w:rPr>
          <w:sz w:val="24"/>
        </w:rPr>
      </w:pPr>
      <w:r>
        <w:rPr>
          <w:sz w:val="24"/>
        </w:rPr>
        <w:t>Les actif devront nous être délivrés libres de toute inscription de nantissements, privilèges, hypothèques ou autres sûretés, hors ceux identifiés au paragraphe 3 ci-après.</w:t>
      </w:r>
    </w:p>
    <w:p w:rsidR="0010067B" w:rsidRDefault="007F5F9B">
      <w:pPr>
        <w:numPr>
          <w:ilvl w:val="0"/>
          <w:numId w:val="3"/>
        </w:numPr>
        <w:jc w:val="both"/>
        <w:rPr>
          <w:sz w:val="24"/>
        </w:rPr>
      </w:pPr>
      <w:r>
        <w:rPr>
          <w:sz w:val="24"/>
        </w:rPr>
        <w:t>Nous devrons être avertis préalablement de tout engagement pris ou de toute résiliation d’engagement dont nous n’aurions pas connaissance à ce jour et susceptible de modifier les actifs.</w:t>
      </w:r>
    </w:p>
    <w:p w:rsidR="0010067B" w:rsidRDefault="0010067B" w:rsidP="00F94957">
      <w:pPr>
        <w:pStyle w:val="Titre2"/>
      </w:pPr>
    </w:p>
    <w:p w:rsidR="0010067B" w:rsidRDefault="0010067B">
      <w:pPr>
        <w:jc w:val="both"/>
        <w:rPr>
          <w:sz w:val="24"/>
        </w:rPr>
      </w:pPr>
    </w:p>
    <w:p w:rsidR="0010067B" w:rsidRDefault="0010067B">
      <w:pPr>
        <w:jc w:val="both"/>
        <w:rPr>
          <w:sz w:val="24"/>
        </w:rPr>
      </w:pPr>
    </w:p>
    <w:p w:rsidR="0010067B" w:rsidRDefault="00F94957">
      <w:pPr>
        <w:pStyle w:val="Titre2"/>
      </w:pPr>
      <w:r>
        <w:t>3</w:t>
      </w:r>
      <w:r w:rsidR="007F5F9B">
        <w:t xml:space="preserve"> Personnalité juridique du repreneur</w:t>
      </w:r>
    </w:p>
    <w:p w:rsidR="0010067B" w:rsidRDefault="0010067B">
      <w:pPr>
        <w:jc w:val="both"/>
        <w:rPr>
          <w:sz w:val="24"/>
        </w:rPr>
      </w:pPr>
    </w:p>
    <w:p w:rsidR="0010067B" w:rsidRDefault="007F5F9B">
      <w:pPr>
        <w:jc w:val="both"/>
        <w:rPr>
          <w:sz w:val="24"/>
        </w:rPr>
      </w:pPr>
      <w:r>
        <w:rPr>
          <w:sz w:val="24"/>
        </w:rPr>
        <w:t xml:space="preserve">La présente offre est faite par notre société, </w:t>
      </w:r>
      <w:r w:rsidR="00F94957">
        <w:rPr>
          <w:sz w:val="24"/>
        </w:rPr>
        <w:t xml:space="preserve">Laboratoires EONA SAS, </w:t>
      </w:r>
      <w:r>
        <w:rPr>
          <w:sz w:val="24"/>
        </w:rPr>
        <w:t>présentée dans le document ci-annexé (annexe X)</w:t>
      </w:r>
    </w:p>
    <w:p w:rsidR="0010067B" w:rsidRDefault="0010067B">
      <w:pPr>
        <w:jc w:val="both"/>
        <w:rPr>
          <w:sz w:val="24"/>
        </w:rPr>
      </w:pPr>
    </w:p>
    <w:p w:rsidR="0010067B" w:rsidRDefault="0010067B">
      <w:pPr>
        <w:jc w:val="both"/>
        <w:rPr>
          <w:sz w:val="24"/>
        </w:rPr>
      </w:pPr>
    </w:p>
    <w:p w:rsidR="0010067B" w:rsidRDefault="00F94957">
      <w:pPr>
        <w:jc w:val="both"/>
        <w:rPr>
          <w:b/>
          <w:sz w:val="24"/>
          <w:u w:val="single"/>
        </w:rPr>
      </w:pPr>
      <w:r>
        <w:rPr>
          <w:b/>
          <w:sz w:val="24"/>
          <w:u w:val="single"/>
        </w:rPr>
        <w:t>4</w:t>
      </w:r>
      <w:r w:rsidR="007F5F9B">
        <w:rPr>
          <w:b/>
          <w:sz w:val="24"/>
          <w:u w:val="single"/>
        </w:rPr>
        <w:t xml:space="preserve"> Condition suspensive de l’offre </w:t>
      </w:r>
    </w:p>
    <w:p w:rsidR="0010067B" w:rsidRDefault="0010067B">
      <w:pPr>
        <w:jc w:val="both"/>
        <w:rPr>
          <w:b/>
          <w:sz w:val="24"/>
          <w:u w:val="single"/>
        </w:rPr>
      </w:pPr>
    </w:p>
    <w:p w:rsidR="00F94957" w:rsidRPr="00F94957" w:rsidRDefault="007F5F9B" w:rsidP="00F94957">
      <w:pPr>
        <w:pStyle w:val="Paragraphedeliste1"/>
        <w:numPr>
          <w:ilvl w:val="0"/>
          <w:numId w:val="15"/>
        </w:numPr>
        <w:rPr>
          <w:rFonts w:ascii="Times New Roman" w:hAnsi="Times New Roman"/>
          <w:sz w:val="24"/>
          <w:szCs w:val="24"/>
        </w:rPr>
      </w:pPr>
      <w:r>
        <w:rPr>
          <w:rFonts w:ascii="Times New Roman" w:hAnsi="Times New Roman"/>
          <w:sz w:val="24"/>
        </w:rPr>
        <w:t>La présente proposition est faite sous la condition suspensive</w:t>
      </w:r>
      <w:r w:rsidR="00F94957">
        <w:rPr>
          <w:rFonts w:ascii="Times New Roman" w:hAnsi="Times New Roman"/>
          <w:sz w:val="24"/>
        </w:rPr>
        <w:t>:</w:t>
      </w:r>
      <w:r w:rsidR="00F94957" w:rsidRPr="00F94957">
        <w:rPr>
          <w:sz w:val="24"/>
          <w:szCs w:val="24"/>
        </w:rPr>
        <w:t xml:space="preserve"> </w:t>
      </w:r>
    </w:p>
    <w:p w:rsidR="00F94957" w:rsidRPr="00554D35" w:rsidRDefault="00F94957" w:rsidP="00F94957">
      <w:pPr>
        <w:pStyle w:val="Paragraphedeliste1"/>
        <w:numPr>
          <w:ilvl w:val="0"/>
          <w:numId w:val="16"/>
        </w:numPr>
        <w:rPr>
          <w:rFonts w:ascii="Times New Roman" w:hAnsi="Times New Roman"/>
          <w:sz w:val="24"/>
          <w:szCs w:val="24"/>
        </w:rPr>
      </w:pPr>
      <w:r>
        <w:rPr>
          <w:rFonts w:ascii="Times New Roman" w:hAnsi="Times New Roman"/>
          <w:sz w:val="24"/>
          <w:szCs w:val="24"/>
        </w:rPr>
        <w:t>d’</w:t>
      </w:r>
      <w:r w:rsidRPr="00554D35">
        <w:rPr>
          <w:rFonts w:ascii="Times New Roman" w:hAnsi="Times New Roman"/>
          <w:sz w:val="24"/>
          <w:szCs w:val="24"/>
        </w:rPr>
        <w:t xml:space="preserve">un contrat de licence exclusive du brevet Diffuseur Inovessence + Dosadif </w:t>
      </w:r>
      <w:r>
        <w:rPr>
          <w:rFonts w:ascii="Times New Roman" w:hAnsi="Times New Roman"/>
          <w:sz w:val="24"/>
          <w:szCs w:val="24"/>
        </w:rPr>
        <w:t>que</w:t>
      </w:r>
      <w:r w:rsidRPr="00554D35">
        <w:rPr>
          <w:rFonts w:ascii="Times New Roman" w:hAnsi="Times New Roman"/>
          <w:sz w:val="24"/>
          <w:szCs w:val="24"/>
        </w:rPr>
        <w:t xml:space="preserve"> son propriétaire Jacques DALIBARD </w:t>
      </w:r>
      <w:r>
        <w:rPr>
          <w:rFonts w:ascii="Times New Roman" w:hAnsi="Times New Roman"/>
          <w:sz w:val="24"/>
          <w:szCs w:val="24"/>
        </w:rPr>
        <w:t xml:space="preserve">concèderait </w:t>
      </w:r>
      <w:r w:rsidRPr="00554D35">
        <w:rPr>
          <w:rFonts w:ascii="Times New Roman" w:hAnsi="Times New Roman"/>
          <w:sz w:val="24"/>
          <w:szCs w:val="24"/>
        </w:rPr>
        <w:t>à EONA (licence exclusive, territoire : mo</w:t>
      </w:r>
      <w:r>
        <w:rPr>
          <w:rFonts w:ascii="Times New Roman" w:hAnsi="Times New Roman"/>
          <w:sz w:val="24"/>
          <w:szCs w:val="24"/>
        </w:rPr>
        <w:t>nde, durée minimum : 10 ans).</w:t>
      </w:r>
    </w:p>
    <w:p w:rsidR="00F94957" w:rsidRPr="00554D35" w:rsidRDefault="00F94957" w:rsidP="00F94957">
      <w:pPr>
        <w:pStyle w:val="Paragraphedeliste1"/>
        <w:numPr>
          <w:ilvl w:val="0"/>
          <w:numId w:val="16"/>
        </w:numPr>
        <w:rPr>
          <w:rFonts w:ascii="Times New Roman" w:hAnsi="Times New Roman"/>
          <w:sz w:val="24"/>
          <w:szCs w:val="24"/>
        </w:rPr>
      </w:pPr>
      <w:r w:rsidRPr="00554D35">
        <w:rPr>
          <w:rFonts w:ascii="Times New Roman" w:hAnsi="Times New Roman"/>
          <w:sz w:val="24"/>
          <w:szCs w:val="24"/>
        </w:rPr>
        <w:t>d’un contrat de licence exclusive sur les marques INOVESSENCE et DOSADIF</w:t>
      </w:r>
      <w:r>
        <w:rPr>
          <w:rFonts w:ascii="Times New Roman" w:hAnsi="Times New Roman"/>
          <w:sz w:val="24"/>
          <w:szCs w:val="24"/>
        </w:rPr>
        <w:t>.</w:t>
      </w:r>
    </w:p>
    <w:p w:rsidR="00F94957" w:rsidRDefault="00F94957" w:rsidP="00F94957">
      <w:pPr>
        <w:pStyle w:val="Paragraphedeliste1"/>
        <w:numPr>
          <w:ilvl w:val="0"/>
          <w:numId w:val="16"/>
        </w:numPr>
        <w:rPr>
          <w:rFonts w:ascii="Times New Roman" w:hAnsi="Times New Roman"/>
          <w:sz w:val="24"/>
          <w:szCs w:val="24"/>
        </w:rPr>
      </w:pPr>
      <w:r>
        <w:rPr>
          <w:rFonts w:ascii="Times New Roman" w:hAnsi="Times New Roman"/>
          <w:sz w:val="24"/>
          <w:szCs w:val="24"/>
        </w:rPr>
        <w:t xml:space="preserve">d’un contrat de Conseil temporaire technique entre Monsieur </w:t>
      </w:r>
      <w:r w:rsidRPr="00554D35">
        <w:rPr>
          <w:rFonts w:ascii="Times New Roman" w:hAnsi="Times New Roman"/>
          <w:sz w:val="24"/>
          <w:szCs w:val="24"/>
        </w:rPr>
        <w:t xml:space="preserve">Jacques DALIBARD </w:t>
      </w:r>
      <w:r>
        <w:rPr>
          <w:rFonts w:ascii="Times New Roman" w:hAnsi="Times New Roman"/>
          <w:sz w:val="24"/>
          <w:szCs w:val="24"/>
        </w:rPr>
        <w:t>et la Société Eona.</w:t>
      </w:r>
    </w:p>
    <w:p w:rsidR="0010067B" w:rsidRDefault="0010067B">
      <w:pPr>
        <w:pStyle w:val="Retraitcorpsdetexte"/>
        <w:rPr>
          <w:rFonts w:ascii="Times New Roman" w:hAnsi="Times New Roman"/>
          <w:sz w:val="24"/>
        </w:rPr>
      </w:pPr>
    </w:p>
    <w:p w:rsidR="0010067B" w:rsidRDefault="0010067B">
      <w:pPr>
        <w:jc w:val="both"/>
        <w:rPr>
          <w:sz w:val="24"/>
        </w:rPr>
      </w:pPr>
    </w:p>
    <w:p w:rsidR="0010067B" w:rsidRDefault="00F94957">
      <w:pPr>
        <w:pStyle w:val="Titre2"/>
      </w:pPr>
      <w:r>
        <w:t>5</w:t>
      </w:r>
      <w:r w:rsidR="007F5F9B">
        <w:t xml:space="preserve"> Date de mise en œuvre et de résiliation</w:t>
      </w:r>
    </w:p>
    <w:p w:rsidR="0010067B" w:rsidRDefault="0010067B">
      <w:pPr>
        <w:jc w:val="both"/>
        <w:rPr>
          <w:b/>
          <w:sz w:val="24"/>
          <w:u w:val="single"/>
        </w:rPr>
      </w:pPr>
    </w:p>
    <w:p w:rsidR="0010067B" w:rsidRDefault="007F5F9B">
      <w:pPr>
        <w:jc w:val="both"/>
        <w:rPr>
          <w:sz w:val="24"/>
        </w:rPr>
      </w:pPr>
      <w:r>
        <w:rPr>
          <w:sz w:val="24"/>
        </w:rPr>
        <w:t>L’offre est d’effet immédiat, sous réserve du paragraphe 6</w:t>
      </w:r>
    </w:p>
    <w:p w:rsidR="0010067B" w:rsidRDefault="0010067B">
      <w:pPr>
        <w:jc w:val="both"/>
        <w:rPr>
          <w:sz w:val="24"/>
        </w:rPr>
      </w:pPr>
    </w:p>
    <w:p w:rsidR="0010067B" w:rsidRDefault="007F5F9B">
      <w:pPr>
        <w:jc w:val="both"/>
        <w:rPr>
          <w:sz w:val="24"/>
        </w:rPr>
      </w:pPr>
      <w:r>
        <w:rPr>
          <w:sz w:val="24"/>
        </w:rPr>
        <w:t xml:space="preserve">Elle ne pourra être maintenue au-delà du </w:t>
      </w:r>
      <w:r w:rsidR="00F94957">
        <w:rPr>
          <w:sz w:val="24"/>
        </w:rPr>
        <w:t xml:space="preserve">31 Juillet 2010.  </w:t>
      </w:r>
    </w:p>
    <w:p w:rsidR="00F94957" w:rsidRDefault="00F94957">
      <w:pPr>
        <w:jc w:val="both"/>
        <w:rPr>
          <w:sz w:val="24"/>
        </w:rPr>
      </w:pPr>
    </w:p>
    <w:p w:rsidR="0010067B" w:rsidRDefault="007F5F9B">
      <w:pPr>
        <w:jc w:val="both"/>
        <w:rPr>
          <w:sz w:val="24"/>
        </w:rPr>
      </w:pPr>
      <w:r>
        <w:rPr>
          <w:sz w:val="24"/>
        </w:rPr>
        <w:t xml:space="preserve">Pendant les 12 mois suivants notre entrée en jouissance, la société </w:t>
      </w:r>
      <w:r w:rsidR="00F94957">
        <w:rPr>
          <w:sz w:val="24"/>
        </w:rPr>
        <w:t xml:space="preserve">INOVESSENCE </w:t>
      </w:r>
      <w:r>
        <w:rPr>
          <w:sz w:val="24"/>
        </w:rPr>
        <w:t xml:space="preserve">s’engage à nous délivrer les documents ci-après : </w:t>
      </w:r>
      <w:r w:rsidR="00F94957">
        <w:rPr>
          <w:sz w:val="24"/>
        </w:rPr>
        <w:t>tous documents administratifs et techniques nécessaires à la reprise et à l’activité des produits développés par INOVESSENCE (archives, documents commerciaux, documents techniques, fichiers fournisseurs et clients/prospects).</w:t>
      </w:r>
    </w:p>
    <w:p w:rsidR="0010067B" w:rsidRDefault="0010067B">
      <w:pPr>
        <w:jc w:val="both"/>
        <w:rPr>
          <w:sz w:val="24"/>
        </w:rPr>
      </w:pPr>
    </w:p>
    <w:p w:rsidR="0010067B" w:rsidRDefault="0010067B">
      <w:pPr>
        <w:jc w:val="both"/>
        <w:rPr>
          <w:sz w:val="24"/>
          <w:u w:val="single"/>
        </w:rPr>
      </w:pPr>
    </w:p>
    <w:p w:rsidR="0010067B" w:rsidRDefault="00F94957">
      <w:pPr>
        <w:pStyle w:val="Titre2"/>
      </w:pPr>
      <w:r>
        <w:t>6</w:t>
      </w:r>
      <w:r w:rsidR="007F5F9B">
        <w:t xml:space="preserve"> Documents fournis</w:t>
      </w:r>
    </w:p>
    <w:p w:rsidR="0010067B" w:rsidRDefault="0010067B">
      <w:pPr>
        <w:jc w:val="both"/>
        <w:rPr>
          <w:b/>
          <w:sz w:val="24"/>
          <w:u w:val="single"/>
        </w:rPr>
      </w:pPr>
    </w:p>
    <w:p w:rsidR="0010067B" w:rsidRDefault="007F5F9B">
      <w:pPr>
        <w:jc w:val="both"/>
        <w:rPr>
          <w:sz w:val="24"/>
        </w:rPr>
      </w:pPr>
      <w:r>
        <w:rPr>
          <w:sz w:val="24"/>
        </w:rPr>
        <w:t>A l’appui de la présente offre et conformément aux dispositions de l’article L.621-85 du Nouveau Code de Commerce, nous remettons :</w:t>
      </w:r>
    </w:p>
    <w:p w:rsidR="0010067B" w:rsidRDefault="0010067B">
      <w:pPr>
        <w:jc w:val="both"/>
        <w:rPr>
          <w:sz w:val="24"/>
        </w:rPr>
      </w:pPr>
    </w:p>
    <w:p w:rsidR="0010067B" w:rsidRDefault="007F5F9B">
      <w:pPr>
        <w:numPr>
          <w:ilvl w:val="0"/>
          <w:numId w:val="3"/>
        </w:numPr>
        <w:jc w:val="both"/>
        <w:rPr>
          <w:sz w:val="24"/>
        </w:rPr>
      </w:pPr>
      <w:r>
        <w:rPr>
          <w:sz w:val="24"/>
        </w:rPr>
        <w:t>le bilan (consolidé) des trois derniers exercices de notre société.</w:t>
      </w:r>
    </w:p>
    <w:p w:rsidR="0010067B" w:rsidRDefault="0010067B">
      <w:pPr>
        <w:jc w:val="both"/>
        <w:rPr>
          <w:sz w:val="24"/>
        </w:rPr>
      </w:pPr>
    </w:p>
    <w:p w:rsidR="0010067B" w:rsidRDefault="007F5F9B">
      <w:pPr>
        <w:numPr>
          <w:ilvl w:val="0"/>
          <w:numId w:val="3"/>
        </w:numPr>
        <w:jc w:val="both"/>
        <w:rPr>
          <w:sz w:val="24"/>
        </w:rPr>
      </w:pPr>
      <w:r>
        <w:rPr>
          <w:sz w:val="24"/>
        </w:rPr>
        <w:t>un dossier complet concernant les propositions de reprise, comprenant notamment :</w:t>
      </w:r>
    </w:p>
    <w:p w:rsidR="0010067B" w:rsidRDefault="0010067B">
      <w:pPr>
        <w:jc w:val="both"/>
        <w:rPr>
          <w:sz w:val="24"/>
        </w:rPr>
      </w:pPr>
    </w:p>
    <w:p w:rsidR="0010067B" w:rsidRDefault="007F5F9B">
      <w:pPr>
        <w:numPr>
          <w:ilvl w:val="0"/>
          <w:numId w:val="14"/>
        </w:numPr>
        <w:jc w:val="both"/>
        <w:rPr>
          <w:sz w:val="24"/>
        </w:rPr>
      </w:pPr>
      <w:r>
        <w:rPr>
          <w:sz w:val="24"/>
        </w:rPr>
        <w:t xml:space="preserve">notre </w:t>
      </w:r>
      <w:r w:rsidR="00F94957">
        <w:rPr>
          <w:sz w:val="24"/>
        </w:rPr>
        <w:t>plan de développement des produits INOVESSENCE dans la structure LABORATOIRES EONA</w:t>
      </w:r>
    </w:p>
    <w:p w:rsidR="0010067B" w:rsidRDefault="007F5F9B">
      <w:pPr>
        <w:numPr>
          <w:ilvl w:val="0"/>
          <w:numId w:val="14"/>
        </w:numPr>
        <w:jc w:val="both"/>
        <w:rPr>
          <w:sz w:val="24"/>
        </w:rPr>
      </w:pPr>
      <w:r>
        <w:rPr>
          <w:sz w:val="24"/>
        </w:rPr>
        <w:t xml:space="preserve">notre dossier financier comprenant nos prévisions d’activité </w:t>
      </w:r>
    </w:p>
    <w:p w:rsidR="0010067B" w:rsidRDefault="0010067B">
      <w:pPr>
        <w:jc w:val="both"/>
        <w:rPr>
          <w:sz w:val="24"/>
        </w:rPr>
      </w:pPr>
    </w:p>
    <w:p w:rsidR="0010067B" w:rsidRDefault="0010067B">
      <w:pPr>
        <w:jc w:val="both"/>
        <w:rPr>
          <w:sz w:val="24"/>
        </w:rPr>
      </w:pPr>
    </w:p>
    <w:p w:rsidR="0010067B" w:rsidRDefault="00F94957">
      <w:pPr>
        <w:pStyle w:val="Titre2"/>
      </w:pPr>
      <w:r>
        <w:t xml:space="preserve">7 </w:t>
      </w:r>
      <w:r w:rsidR="007F5F9B">
        <w:t>Caractère global de l’offre</w:t>
      </w:r>
    </w:p>
    <w:p w:rsidR="0010067B" w:rsidRDefault="0010067B">
      <w:pPr>
        <w:jc w:val="both"/>
        <w:rPr>
          <w:b/>
          <w:sz w:val="24"/>
          <w:u w:val="single"/>
        </w:rPr>
      </w:pPr>
    </w:p>
    <w:p w:rsidR="0010067B" w:rsidRDefault="007F5F9B">
      <w:pPr>
        <w:pStyle w:val="Retraitcorpsdetexte"/>
        <w:rPr>
          <w:rFonts w:ascii="Times New Roman" w:hAnsi="Times New Roman"/>
          <w:sz w:val="24"/>
        </w:rPr>
      </w:pPr>
      <w:r>
        <w:rPr>
          <w:rFonts w:ascii="Times New Roman" w:hAnsi="Times New Roman"/>
          <w:sz w:val="24"/>
        </w:rPr>
        <w:t>L’ensemble de la présente proposition constitue un tout indissociable. Toute amputation des actifs cédés ou modification des conditions proposées, ainsi que toute charge supplémentaire ne pourront nous être imposées sans notre accord.</w:t>
      </w:r>
    </w:p>
    <w:p w:rsidR="0010067B" w:rsidRDefault="0010067B">
      <w:pPr>
        <w:jc w:val="both"/>
        <w:rPr>
          <w:sz w:val="24"/>
        </w:rPr>
      </w:pPr>
    </w:p>
    <w:p w:rsidR="0010067B" w:rsidRDefault="007F5F9B">
      <w:pPr>
        <w:rPr>
          <w:sz w:val="24"/>
        </w:rPr>
      </w:pPr>
      <w:r>
        <w:rPr>
          <w:sz w:val="24"/>
        </w:rPr>
        <w:t>Nous restons à votre disposition ainsi qu’à celle du tribunal pour vous fournir, le cas échéant, des informations complémentaires.</w:t>
      </w:r>
    </w:p>
    <w:p w:rsidR="00F94957" w:rsidRDefault="00F94957">
      <w:pPr>
        <w:rPr>
          <w:sz w:val="24"/>
        </w:rPr>
      </w:pPr>
    </w:p>
    <w:p w:rsidR="00F94957" w:rsidRDefault="00F94957">
      <w:pPr>
        <w:rPr>
          <w:sz w:val="24"/>
        </w:rPr>
      </w:pPr>
    </w:p>
    <w:p w:rsidR="00F94957" w:rsidRDefault="00F94957">
      <w:pPr>
        <w:rPr>
          <w:sz w:val="24"/>
        </w:rPr>
      </w:pPr>
      <w:r>
        <w:rPr>
          <w:sz w:val="24"/>
        </w:rPr>
        <w:tab/>
      </w:r>
      <w:r>
        <w:rPr>
          <w:sz w:val="24"/>
        </w:rPr>
        <w:tab/>
      </w:r>
      <w:r>
        <w:rPr>
          <w:sz w:val="24"/>
        </w:rPr>
        <w:tab/>
      </w:r>
      <w:r>
        <w:rPr>
          <w:sz w:val="24"/>
        </w:rPr>
        <w:tab/>
      </w:r>
      <w:r>
        <w:rPr>
          <w:sz w:val="24"/>
        </w:rPr>
        <w:tab/>
      </w:r>
      <w:r>
        <w:rPr>
          <w:sz w:val="24"/>
        </w:rPr>
        <w:tab/>
      </w:r>
      <w:r>
        <w:rPr>
          <w:sz w:val="24"/>
        </w:rPr>
        <w:tab/>
        <w:t>Laurent BERLIE</w:t>
      </w:r>
    </w:p>
    <w:p w:rsidR="00F94957" w:rsidRDefault="00F94957">
      <w:pPr>
        <w:rPr>
          <w:sz w:val="24"/>
        </w:rPr>
      </w:pPr>
      <w:r>
        <w:rPr>
          <w:sz w:val="24"/>
        </w:rPr>
        <w:tab/>
      </w:r>
      <w:r>
        <w:rPr>
          <w:sz w:val="24"/>
        </w:rPr>
        <w:tab/>
      </w:r>
      <w:r>
        <w:rPr>
          <w:sz w:val="24"/>
        </w:rPr>
        <w:tab/>
      </w:r>
      <w:r>
        <w:rPr>
          <w:sz w:val="24"/>
        </w:rPr>
        <w:tab/>
      </w:r>
      <w:r>
        <w:rPr>
          <w:sz w:val="24"/>
        </w:rPr>
        <w:tab/>
      </w:r>
      <w:r>
        <w:rPr>
          <w:sz w:val="24"/>
        </w:rPr>
        <w:tab/>
      </w:r>
      <w:r>
        <w:rPr>
          <w:sz w:val="24"/>
        </w:rPr>
        <w:tab/>
        <w:t>Président</w:t>
      </w:r>
    </w:p>
    <w:p w:rsidR="0010067B" w:rsidRDefault="0010067B">
      <w:pPr>
        <w:rPr>
          <w:sz w:val="24"/>
        </w:rPr>
      </w:pPr>
    </w:p>
    <w:p w:rsidR="007F5F9B" w:rsidRDefault="007F5F9B">
      <w:pPr>
        <w:rPr>
          <w:sz w:val="24"/>
        </w:rPr>
      </w:pPr>
    </w:p>
    <w:p w:rsidR="00B12E06" w:rsidRDefault="00B12E06">
      <w:pPr>
        <w:rPr>
          <w:sz w:val="24"/>
        </w:rPr>
      </w:pPr>
    </w:p>
    <w:p w:rsidR="00B12E06" w:rsidRDefault="00B12E06">
      <w:pPr>
        <w:rPr>
          <w:sz w:val="24"/>
        </w:rPr>
      </w:pPr>
    </w:p>
    <w:p w:rsidR="00B12E06" w:rsidRDefault="00B12E06">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8358AF" w:rsidRDefault="008358AF">
      <w:pPr>
        <w:rPr>
          <w:sz w:val="24"/>
        </w:rPr>
      </w:pPr>
    </w:p>
    <w:p w:rsidR="00B12E06" w:rsidRDefault="00B12E06" w:rsidP="00B12E06">
      <w:pPr>
        <w:tabs>
          <w:tab w:val="left" w:pos="1080"/>
        </w:tabs>
        <w:rPr>
          <w:rFonts w:ascii="Garamond" w:hAnsi="Garamond"/>
        </w:rPr>
      </w:pPr>
      <w:r>
        <w:rPr>
          <w:rFonts w:ascii="Garamond" w:hAnsi="Garamond"/>
          <w:b/>
          <w:bCs/>
        </w:rPr>
        <w:t>LABORATOIRES EONA :  01  60 78 93 03</w:t>
      </w:r>
      <w:r>
        <w:rPr>
          <w:rFonts w:ascii="Garamond" w:hAnsi="Garamond"/>
        </w:rPr>
        <w:t xml:space="preserve"> </w:t>
      </w:r>
    </w:p>
    <w:p w:rsidR="00B12E06" w:rsidRDefault="00B12E06" w:rsidP="00B12E06">
      <w:pPr>
        <w:tabs>
          <w:tab w:val="left" w:pos="1080"/>
        </w:tabs>
        <w:rPr>
          <w:rFonts w:ascii="Garamond" w:hAnsi="Garamond"/>
        </w:rPr>
      </w:pPr>
      <w:r>
        <w:rPr>
          <w:rFonts w:ascii="Garamond" w:hAnsi="Garamond"/>
        </w:rPr>
        <w:t>BP 15 - ZA du CHENET – 91490 MILLY  LA FORET – Télécopie : 01 64 98 46 16</w:t>
      </w:r>
    </w:p>
    <w:p w:rsidR="00B12E06" w:rsidRPr="008358AF" w:rsidRDefault="00B12E06">
      <w:r>
        <w:rPr>
          <w:rFonts w:ascii="Garamond" w:hAnsi="Garamond"/>
        </w:rPr>
        <w:t>Internet : www.eona-lab.co</w:t>
      </w:r>
      <w:r>
        <w:t xml:space="preserve">m      Email : </w:t>
      </w:r>
      <w:hyperlink r:id="rId7" w:history="1">
        <w:r>
          <w:rPr>
            <w:rStyle w:val="Lienhypertexte"/>
          </w:rPr>
          <w:t>contact@eona-lab.com</w:t>
        </w:r>
      </w:hyperlink>
    </w:p>
    <w:sectPr w:rsidR="00B12E06" w:rsidRPr="008358AF" w:rsidSect="0010067B">
      <w:headerReference w:type="default" r:id="rId8"/>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EFB" w:rsidRDefault="000E7EFB" w:rsidP="008358AF">
      <w:r>
        <w:separator/>
      </w:r>
    </w:p>
  </w:endnote>
  <w:endnote w:type="continuationSeparator" w:id="0">
    <w:p w:rsidR="000E7EFB" w:rsidRDefault="000E7EFB" w:rsidP="0083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EFB" w:rsidRDefault="000E7EFB" w:rsidP="008358AF">
      <w:r>
        <w:separator/>
      </w:r>
    </w:p>
  </w:footnote>
  <w:footnote w:type="continuationSeparator" w:id="0">
    <w:p w:rsidR="000E7EFB" w:rsidRDefault="000E7EFB" w:rsidP="00835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8AF" w:rsidRDefault="008358AF">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75pt">
          <v:imagedata r:id="rId1" o:title="logo_labo_eona"/>
        </v:shape>
      </w:pict>
    </w:r>
  </w:p>
  <w:p w:rsidR="008358AF" w:rsidRDefault="008358A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BD7"/>
    <w:multiLevelType w:val="multilevel"/>
    <w:tmpl w:val="04C4351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8B0ADC"/>
    <w:multiLevelType w:val="singleLevel"/>
    <w:tmpl w:val="040C0011"/>
    <w:lvl w:ilvl="0">
      <w:start w:val="1"/>
      <w:numFmt w:val="decimal"/>
      <w:lvlText w:val="%1)"/>
      <w:lvlJc w:val="left"/>
      <w:pPr>
        <w:tabs>
          <w:tab w:val="num" w:pos="360"/>
        </w:tabs>
        <w:ind w:left="360" w:hanging="360"/>
      </w:pPr>
      <w:rPr>
        <w:rFonts w:hint="default"/>
      </w:rPr>
    </w:lvl>
  </w:abstractNum>
  <w:abstractNum w:abstractNumId="2">
    <w:nsid w:val="10C21894"/>
    <w:multiLevelType w:val="singleLevel"/>
    <w:tmpl w:val="7562CEF4"/>
    <w:lvl w:ilvl="0">
      <w:start w:val="1"/>
      <w:numFmt w:val="bullet"/>
      <w:lvlText w:val="-"/>
      <w:lvlJc w:val="left"/>
      <w:pPr>
        <w:tabs>
          <w:tab w:val="num" w:pos="360"/>
        </w:tabs>
        <w:ind w:left="360" w:hanging="360"/>
      </w:pPr>
      <w:rPr>
        <w:rFonts w:ascii="Times New Roman" w:hAnsi="Times New Roman" w:hint="default"/>
      </w:rPr>
    </w:lvl>
  </w:abstractNum>
  <w:abstractNum w:abstractNumId="3">
    <w:nsid w:val="13AD76C6"/>
    <w:multiLevelType w:val="multilevel"/>
    <w:tmpl w:val="116E20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5F560C3"/>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514624F7"/>
    <w:multiLevelType w:val="hybridMultilevel"/>
    <w:tmpl w:val="B8425A0C"/>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1753C92"/>
    <w:multiLevelType w:val="singleLevel"/>
    <w:tmpl w:val="EF149A22"/>
    <w:lvl w:ilvl="0">
      <w:start w:val="1"/>
      <w:numFmt w:val="bullet"/>
      <w:lvlText w:val=""/>
      <w:lvlJc w:val="left"/>
      <w:pPr>
        <w:tabs>
          <w:tab w:val="num" w:pos="1068"/>
        </w:tabs>
        <w:ind w:left="1068" w:hanging="360"/>
      </w:pPr>
      <w:rPr>
        <w:rFonts w:ascii="Wingdings" w:hAnsi="Wingdings" w:hint="default"/>
      </w:rPr>
    </w:lvl>
  </w:abstractNum>
  <w:abstractNum w:abstractNumId="7">
    <w:nsid w:val="570D56FB"/>
    <w:multiLevelType w:val="hybridMultilevel"/>
    <w:tmpl w:val="36D290CA"/>
    <w:lvl w:ilvl="0" w:tplc="EF149A22">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EEE0E65"/>
    <w:multiLevelType w:val="multilevel"/>
    <w:tmpl w:val="D98A47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nsid w:val="629B15A2"/>
    <w:multiLevelType w:val="hybridMultilevel"/>
    <w:tmpl w:val="4604633E"/>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4FC713D"/>
    <w:multiLevelType w:val="multilevel"/>
    <w:tmpl w:val="0D802A8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6DB2F22"/>
    <w:multiLevelType w:val="multilevel"/>
    <w:tmpl w:val="B43E1D9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9635074"/>
    <w:multiLevelType w:val="multilevel"/>
    <w:tmpl w:val="50F63F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F3046F9"/>
    <w:multiLevelType w:val="multilevel"/>
    <w:tmpl w:val="0136F6E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7AC422A"/>
    <w:multiLevelType w:val="hybridMultilevel"/>
    <w:tmpl w:val="36D290CA"/>
    <w:lvl w:ilvl="0" w:tplc="23D64E58">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B5A7E70"/>
    <w:multiLevelType w:val="hybridMultilevel"/>
    <w:tmpl w:val="BE5437D8"/>
    <w:lvl w:ilvl="0" w:tplc="2EACFAB4">
      <w:numFmt w:val="bullet"/>
      <w:lvlText w:val="-"/>
      <w:lvlJc w:val="left"/>
      <w:pPr>
        <w:tabs>
          <w:tab w:val="num" w:pos="454"/>
        </w:tabs>
        <w:ind w:left="454" w:hanging="39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6"/>
  </w:num>
  <w:num w:numId="6">
    <w:abstractNumId w:val="11"/>
  </w:num>
  <w:num w:numId="7">
    <w:abstractNumId w:val="10"/>
  </w:num>
  <w:num w:numId="8">
    <w:abstractNumId w:val="0"/>
  </w:num>
  <w:num w:numId="9">
    <w:abstractNumId w:val="12"/>
  </w:num>
  <w:num w:numId="10">
    <w:abstractNumId w:val="9"/>
  </w:num>
  <w:num w:numId="11">
    <w:abstractNumId w:val="5"/>
  </w:num>
  <w:num w:numId="12">
    <w:abstractNumId w:val="15"/>
  </w:num>
  <w:num w:numId="13">
    <w:abstractNumId w:val="7"/>
  </w:num>
  <w:num w:numId="14">
    <w:abstractNumId w:val="14"/>
  </w:num>
  <w:num w:numId="15">
    <w:abstractNumId w:val="3"/>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402"/>
    <w:rsid w:val="000E7EFB"/>
    <w:rsid w:val="000F7E84"/>
    <w:rsid w:val="0010067B"/>
    <w:rsid w:val="005D6D4E"/>
    <w:rsid w:val="007F5F9B"/>
    <w:rsid w:val="008358AF"/>
    <w:rsid w:val="00840854"/>
    <w:rsid w:val="00B12E06"/>
    <w:rsid w:val="00CA0402"/>
    <w:rsid w:val="00DD4D57"/>
    <w:rsid w:val="00F9495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7B"/>
  </w:style>
  <w:style w:type="paragraph" w:styleId="Titre1">
    <w:name w:val="heading 1"/>
    <w:basedOn w:val="Normal"/>
    <w:next w:val="Normal"/>
    <w:qFormat/>
    <w:rsid w:val="0010067B"/>
    <w:pPr>
      <w:keepNext/>
      <w:outlineLvl w:val="0"/>
    </w:pPr>
    <w:rPr>
      <w:sz w:val="24"/>
    </w:rPr>
  </w:style>
  <w:style w:type="paragraph" w:styleId="Titre2">
    <w:name w:val="heading 2"/>
    <w:basedOn w:val="Normal"/>
    <w:next w:val="Normal"/>
    <w:qFormat/>
    <w:rsid w:val="0010067B"/>
    <w:pPr>
      <w:keepNext/>
      <w:jc w:val="both"/>
      <w:outlineLvl w:val="1"/>
    </w:pPr>
    <w:rPr>
      <w:b/>
      <w:sz w:val="24"/>
      <w:u w:val="single"/>
    </w:rPr>
  </w:style>
  <w:style w:type="paragraph" w:styleId="Titre6">
    <w:name w:val="heading 6"/>
    <w:basedOn w:val="Normal"/>
    <w:next w:val="Normal"/>
    <w:qFormat/>
    <w:rsid w:val="0010067B"/>
    <w:pPr>
      <w:numPr>
        <w:ilvl w:val="5"/>
        <w:numId w:val="1"/>
      </w:numPr>
      <w:overflowPunct w:val="0"/>
      <w:autoSpaceDE w:val="0"/>
      <w:autoSpaceDN w:val="0"/>
      <w:adjustRightInd w:val="0"/>
      <w:spacing w:before="240" w:after="60"/>
      <w:textAlignment w:val="baseline"/>
      <w:outlineLvl w:val="5"/>
    </w:pPr>
    <w:rPr>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10067B"/>
    <w:rPr>
      <w:sz w:val="24"/>
    </w:rPr>
  </w:style>
  <w:style w:type="paragraph" w:styleId="Retraitcorpsdetexte">
    <w:name w:val="Body Text Indent"/>
    <w:basedOn w:val="Normal"/>
    <w:semiHidden/>
    <w:rsid w:val="0010067B"/>
    <w:pPr>
      <w:jc w:val="both"/>
    </w:pPr>
    <w:rPr>
      <w:rFonts w:ascii="Tahoma" w:hAnsi="Tahoma"/>
    </w:rPr>
  </w:style>
  <w:style w:type="paragraph" w:styleId="Titre">
    <w:name w:val="Title"/>
    <w:basedOn w:val="Normal"/>
    <w:qFormat/>
    <w:rsid w:val="0010067B"/>
    <w:pPr>
      <w:pBdr>
        <w:top w:val="double" w:sz="4" w:space="1" w:color="auto"/>
        <w:left w:val="double" w:sz="4" w:space="4" w:color="auto"/>
        <w:bottom w:val="double" w:sz="4" w:space="1" w:color="auto"/>
        <w:right w:val="double" w:sz="4" w:space="4" w:color="auto"/>
      </w:pBdr>
      <w:ind w:firstLine="708"/>
      <w:jc w:val="center"/>
    </w:pPr>
    <w:rPr>
      <w:sz w:val="28"/>
      <w:szCs w:val="28"/>
    </w:rPr>
  </w:style>
  <w:style w:type="paragraph" w:customStyle="1" w:styleId="Paragraphedeliste1">
    <w:name w:val="Paragraphe de liste1"/>
    <w:basedOn w:val="Normal"/>
    <w:rsid w:val="00F94957"/>
    <w:pPr>
      <w:spacing w:after="200" w:line="276" w:lineRule="auto"/>
      <w:ind w:left="720"/>
      <w:contextualSpacing/>
    </w:pPr>
    <w:rPr>
      <w:rFonts w:ascii="Calibri" w:hAnsi="Calibri"/>
      <w:sz w:val="22"/>
      <w:szCs w:val="22"/>
      <w:lang w:eastAsia="en-US"/>
    </w:rPr>
  </w:style>
  <w:style w:type="character" w:styleId="Lienhypertexte">
    <w:name w:val="Hyperlink"/>
    <w:basedOn w:val="Policepardfaut"/>
    <w:semiHidden/>
    <w:rsid w:val="00B12E06"/>
    <w:rPr>
      <w:color w:val="0000FF"/>
      <w:u w:val="single"/>
    </w:rPr>
  </w:style>
  <w:style w:type="paragraph" w:styleId="En-tte">
    <w:name w:val="header"/>
    <w:basedOn w:val="Normal"/>
    <w:link w:val="En-tteCar"/>
    <w:uiPriority w:val="99"/>
    <w:semiHidden/>
    <w:unhideWhenUsed/>
    <w:rsid w:val="008358AF"/>
    <w:pPr>
      <w:tabs>
        <w:tab w:val="center" w:pos="4536"/>
        <w:tab w:val="right" w:pos="9072"/>
      </w:tabs>
    </w:pPr>
  </w:style>
  <w:style w:type="character" w:customStyle="1" w:styleId="En-tteCar">
    <w:name w:val="En-tête Car"/>
    <w:basedOn w:val="Policepardfaut"/>
    <w:link w:val="En-tte"/>
    <w:uiPriority w:val="99"/>
    <w:semiHidden/>
    <w:rsid w:val="008358AF"/>
  </w:style>
  <w:style w:type="paragraph" w:styleId="Pieddepage">
    <w:name w:val="footer"/>
    <w:basedOn w:val="Normal"/>
    <w:link w:val="PieddepageCar"/>
    <w:uiPriority w:val="99"/>
    <w:semiHidden/>
    <w:unhideWhenUsed/>
    <w:rsid w:val="008358AF"/>
    <w:pPr>
      <w:tabs>
        <w:tab w:val="center" w:pos="4536"/>
        <w:tab w:val="right" w:pos="9072"/>
      </w:tabs>
    </w:pPr>
  </w:style>
  <w:style w:type="character" w:customStyle="1" w:styleId="PieddepageCar">
    <w:name w:val="Pied de page Car"/>
    <w:basedOn w:val="Policepardfaut"/>
    <w:link w:val="Pieddepage"/>
    <w:uiPriority w:val="99"/>
    <w:semiHidden/>
    <w:rsid w:val="008358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eona-l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Exemple d’une lettre d’offre de reprise</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d’une lettre d’offre de reprise</dc:title>
  <dc:creator>Noel Guy</dc:creator>
  <cp:lastModifiedBy>lberlie</cp:lastModifiedBy>
  <cp:revision>8</cp:revision>
  <cp:lastPrinted>2010-05-27T11:53:00Z</cp:lastPrinted>
  <dcterms:created xsi:type="dcterms:W3CDTF">2010-05-27T11:54:00Z</dcterms:created>
  <dcterms:modified xsi:type="dcterms:W3CDTF">2010-06-04T13:48:00Z</dcterms:modified>
</cp:coreProperties>
</file>