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41" w:rsidRDefault="00D73741" w:rsidP="00D73741">
      <w:pPr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>CR Archives Factory du 23/09/2010</w:t>
      </w:r>
    </w:p>
    <w:p w:rsidR="00D73741" w:rsidRDefault="00D73741" w:rsidP="00D73741">
      <w:pPr>
        <w:rPr>
          <w:rFonts w:ascii="Arial" w:hAnsi="Arial" w:cs="Arial"/>
          <w:color w:val="17375E"/>
        </w:rPr>
      </w:pPr>
    </w:p>
    <w:p w:rsidR="00D73741" w:rsidRDefault="00D73741" w:rsidP="00D73741">
      <w:r>
        <w:t xml:space="preserve">Etaient présents : </w:t>
      </w:r>
      <w:proofErr w:type="spellStart"/>
      <w:r>
        <w:t>D.Gouacide</w:t>
      </w:r>
      <w:proofErr w:type="spellEnd"/>
      <w:r>
        <w:t xml:space="preserve">, Pascal Drouet,  Benoit Lelong, Jean Baptiste </w:t>
      </w:r>
      <w:proofErr w:type="spellStart"/>
      <w:r>
        <w:t>Fuster</w:t>
      </w:r>
      <w:proofErr w:type="spellEnd"/>
      <w:r>
        <w:t>, ER, OL</w:t>
      </w:r>
    </w:p>
    <w:p w:rsidR="00D73741" w:rsidRDefault="00D73741" w:rsidP="00D73741">
      <w:pPr>
        <w:rPr>
          <w:rFonts w:ascii="Arial" w:hAnsi="Arial" w:cs="Arial"/>
          <w:color w:val="17375E"/>
        </w:rPr>
      </w:pPr>
    </w:p>
    <w:p w:rsidR="00D73741" w:rsidRDefault="00D73741" w:rsidP="00D73741">
      <w:r>
        <w:t>Durée : 2H30</w:t>
      </w:r>
    </w:p>
    <w:p w:rsidR="00D73741" w:rsidRDefault="00D73741" w:rsidP="00D73741">
      <w:pPr>
        <w:rPr>
          <w:rFonts w:ascii="Arial" w:hAnsi="Arial" w:cs="Arial"/>
          <w:color w:val="17375E"/>
        </w:rPr>
      </w:pPr>
    </w:p>
    <w:p w:rsidR="00D73741" w:rsidRDefault="00D73741" w:rsidP="00D73741">
      <w:r>
        <w:t>Bonne communication avec un porteur de projet compétent et agréable.</w:t>
      </w:r>
    </w:p>
    <w:p w:rsidR="00D73741" w:rsidRDefault="00D73741" w:rsidP="00D73741">
      <w:pPr>
        <w:rPr>
          <w:rFonts w:ascii="Arial" w:hAnsi="Arial" w:cs="Arial"/>
          <w:color w:val="17375E"/>
        </w:rPr>
      </w:pPr>
    </w:p>
    <w:p w:rsidR="00D73741" w:rsidRDefault="00D73741" w:rsidP="00D73741">
      <w:r>
        <w:t>Archives Factory :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 xml:space="preserve">Intégrateur fournissant, à des PME, une solution d’archivage à valeur probante, clé en main 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i/>
          <w:iCs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 xml:space="preserve">Premier à mettre en œuvre, sur le créneau de l’archivage,  l’architecture Cloud </w:t>
      </w:r>
      <w:r>
        <w:rPr>
          <w:rFonts w:ascii="Arial" w:hAnsi="Arial" w:cs="Arial"/>
          <w:i/>
          <w:iCs/>
          <w:color w:val="17375E"/>
        </w:rPr>
        <w:t>(Les utilisateurs ou les entreprises ne sont plus gérants de leurs serveurs informatiques mais peuvent ainsi accéder de manière évolutive à de nombreux services en ligne sans avoir à gérer l'infrastructure sous-jacente, souvent complexe. Les applications et les données ne se trouvent plus sur l'ordinateur local, mais – métaphoriquement parlant – dans un nuage (</w:t>
      </w:r>
      <w:r>
        <w:rPr>
          <w:rStyle w:val="citation"/>
          <w:rFonts w:ascii="Arial" w:hAnsi="Arial" w:cs="Arial"/>
          <w:i/>
          <w:iCs/>
          <w:color w:val="17375E"/>
        </w:rPr>
        <w:t>« </w:t>
      </w:r>
      <w:proofErr w:type="spellStart"/>
      <w:r>
        <w:rPr>
          <w:rStyle w:val="lang-en"/>
          <w:rFonts w:ascii="Arial" w:hAnsi="Arial" w:cs="Arial"/>
          <w:i/>
          <w:iCs/>
          <w:color w:val="17375E"/>
        </w:rPr>
        <w:t>cloud</w:t>
      </w:r>
      <w:proofErr w:type="spellEnd"/>
      <w:r>
        <w:rPr>
          <w:rStyle w:val="citation"/>
          <w:rFonts w:ascii="Arial" w:hAnsi="Arial" w:cs="Arial"/>
          <w:i/>
          <w:iCs/>
          <w:color w:val="17375E"/>
        </w:rPr>
        <w:t> »</w:t>
      </w:r>
      <w:r>
        <w:rPr>
          <w:rFonts w:ascii="Arial" w:hAnsi="Arial" w:cs="Arial"/>
          <w:i/>
          <w:iCs/>
          <w:color w:val="17375E"/>
        </w:rPr>
        <w:t xml:space="preserve">) composé d'un certain nombre de serveurs distants interconnectés au moyen d'une excellente </w:t>
      </w:r>
      <w:hyperlink r:id="rId4" w:tooltip="Bande passante" w:history="1">
        <w:r>
          <w:rPr>
            <w:rStyle w:val="Lienhypertexte"/>
            <w:rFonts w:ascii="Arial" w:hAnsi="Arial" w:cs="Arial"/>
            <w:i/>
            <w:iCs/>
            <w:color w:val="17375E"/>
          </w:rPr>
          <w:t>bande passante</w:t>
        </w:r>
      </w:hyperlink>
      <w:r>
        <w:rPr>
          <w:rFonts w:ascii="Arial" w:hAnsi="Arial" w:cs="Arial"/>
          <w:i/>
          <w:iCs/>
          <w:color w:val="17375E"/>
        </w:rPr>
        <w:t xml:space="preserve"> indispensable à la fluidité du système. L'accès au service se fait par une application standard facilement disponible, la plupart du temps un </w:t>
      </w:r>
      <w:hyperlink r:id="rId5" w:tooltip="Navigateur Web" w:history="1">
        <w:r>
          <w:rPr>
            <w:rStyle w:val="Lienhypertexte"/>
            <w:rFonts w:ascii="Arial" w:hAnsi="Arial" w:cs="Arial"/>
            <w:i/>
            <w:iCs/>
            <w:color w:val="17375E"/>
          </w:rPr>
          <w:t>navigateur Web</w:t>
        </w:r>
      </w:hyperlink>
      <w:r>
        <w:rPr>
          <w:rFonts w:ascii="Arial" w:hAnsi="Arial" w:cs="Arial"/>
          <w:i/>
          <w:iCs/>
          <w:color w:val="17375E"/>
        </w:rPr>
        <w:t>.)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Facturation à l’utilisation sans cout fixe pour le client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Economie, proclamée, du traitement de facture de 70 à 90% (du fait de la numérisation et  de l’automatisation)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 xml:space="preserve">Cette solution d’archivage externalisée peut </w:t>
      </w:r>
      <w:proofErr w:type="spellStart"/>
      <w:r>
        <w:rPr>
          <w:rFonts w:ascii="Arial" w:hAnsi="Arial" w:cs="Arial"/>
          <w:color w:val="17375E"/>
        </w:rPr>
        <w:t>étre</w:t>
      </w:r>
      <w:proofErr w:type="spellEnd"/>
      <w:r>
        <w:rPr>
          <w:rFonts w:ascii="Arial" w:hAnsi="Arial" w:cs="Arial"/>
          <w:color w:val="17375E"/>
        </w:rPr>
        <w:t xml:space="preserve"> étendue à une solution de calcul et stockage (on est alors avec une solution d’externalisation d’une partie du système informatique).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 xml:space="preserve">Solution AF = 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matériel spécifique utilisant le logiciel Hitachi HCP (</w:t>
      </w:r>
      <w:hyperlink r:id="rId6" w:history="1">
        <w:r>
          <w:rPr>
            <w:rStyle w:val="Lienhypertexte"/>
            <w:rFonts w:ascii="Arial" w:hAnsi="Arial" w:cs="Arial"/>
            <w:color w:val="17375E"/>
          </w:rPr>
          <w:t>http://www.hds.com/products/storage-systems/content-platform/</w:t>
        </w:r>
      </w:hyperlink>
      <w:r>
        <w:rPr>
          <w:rFonts w:ascii="Arial" w:hAnsi="Arial" w:cs="Arial"/>
          <w:color w:val="17375E"/>
        </w:rPr>
        <w:t xml:space="preserve"> ) + 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 xml:space="preserve">disques de stockage Hitachi ou autres + 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hébergeur informatique (</w:t>
      </w:r>
      <w:hyperlink r:id="rId7" w:history="1">
        <w:r>
          <w:rPr>
            <w:rStyle w:val="Lienhypertexte"/>
            <w:rFonts w:ascii="Arial" w:hAnsi="Arial" w:cs="Arial"/>
            <w:color w:val="17375E"/>
          </w:rPr>
          <w:t>http://www.ikoula.com/</w:t>
        </w:r>
      </w:hyperlink>
      <w:r>
        <w:rPr>
          <w:rFonts w:ascii="Arial" w:hAnsi="Arial" w:cs="Arial"/>
          <w:color w:val="17375E"/>
        </w:rPr>
        <w:t>) et son secours (</w:t>
      </w:r>
      <w:hyperlink r:id="rId8" w:history="1">
        <w:r>
          <w:rPr>
            <w:rStyle w:val="Lienhypertexte"/>
            <w:rFonts w:ascii="Arial" w:hAnsi="Arial" w:cs="Arial"/>
            <w:color w:val="17375E"/>
          </w:rPr>
          <w:t>http://www.cdcarkhineo.com/</w:t>
        </w:r>
      </w:hyperlink>
      <w:r>
        <w:rPr>
          <w:rFonts w:ascii="Arial" w:hAnsi="Arial" w:cs="Arial"/>
          <w:color w:val="17375E"/>
        </w:rPr>
        <w:t xml:space="preserve">)  + </w:t>
      </w: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authentification de l’utilisateur renforcée fournie par (</w:t>
      </w:r>
      <w:hyperlink r:id="rId9" w:history="1">
        <w:r>
          <w:rPr>
            <w:rStyle w:val="Lienhypertexte"/>
            <w:rFonts w:ascii="Arial" w:hAnsi="Arial" w:cs="Arial"/>
            <w:color w:val="17375E"/>
          </w:rPr>
          <w:t>http://www.mobilegov.com/index.php/fre</w:t>
        </w:r>
      </w:hyperlink>
      <w:r>
        <w:rPr>
          <w:rFonts w:ascii="Arial" w:hAnsi="Arial" w:cs="Arial"/>
          <w:color w:val="17375E"/>
        </w:rPr>
        <w:t xml:space="preserve">) 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>L’ensemble est mis en œuvre par AF.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>Du fait qu’AF détient des documents à valeur légal, il devient tiers de confiance / ses clients.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>La société n’est pas créée à ce jour.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  <w:r>
        <w:rPr>
          <w:rFonts w:ascii="Arial" w:hAnsi="Arial" w:cs="Arial"/>
          <w:color w:val="17375E"/>
        </w:rPr>
        <w:t xml:space="preserve">Questions : </w:t>
      </w:r>
    </w:p>
    <w:p w:rsidR="00D73741" w:rsidRDefault="00D73741" w:rsidP="00D73741">
      <w:pPr>
        <w:ind w:left="360"/>
        <w:rPr>
          <w:rFonts w:ascii="Arial" w:hAnsi="Arial" w:cs="Arial"/>
          <w:color w:val="17375E"/>
        </w:rPr>
      </w:pPr>
    </w:p>
    <w:p w:rsid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Pour répondre à un AO, AF va devoir acheter un ensemble matériel logiciel à Hitachi (montant ?) afin d’être en mesure de mettre en œuvre rapidement le service proposé.</w:t>
      </w:r>
    </w:p>
    <w:p w:rsidR="00C32BBC" w:rsidRPr="00D73741" w:rsidRDefault="00D73741" w:rsidP="00D73741">
      <w:pPr>
        <w:pStyle w:val="Paragraphedeliste"/>
        <w:ind w:hanging="360"/>
        <w:rPr>
          <w:rFonts w:ascii="Arial" w:hAnsi="Arial" w:cs="Arial"/>
          <w:color w:val="17375E"/>
        </w:rPr>
      </w:pPr>
      <w:r>
        <w:rPr>
          <w:color w:val="17375E"/>
        </w:rPr>
        <w:t>-</w:t>
      </w:r>
      <w:r>
        <w:rPr>
          <w:rFonts w:ascii="Times New Roman" w:hAnsi="Times New Roman" w:cs="Times New Roman"/>
          <w:color w:val="17375E"/>
          <w:sz w:val="14"/>
          <w:szCs w:val="14"/>
        </w:rPr>
        <w:t xml:space="preserve">          </w:t>
      </w:r>
      <w:r>
        <w:rPr>
          <w:rFonts w:ascii="Arial" w:hAnsi="Arial" w:cs="Arial"/>
          <w:color w:val="17375E"/>
        </w:rPr>
        <w:t>Capacité à payer une mission de notre part ?</w:t>
      </w:r>
    </w:p>
    <w:sectPr w:rsidR="00C32BBC" w:rsidRPr="00D7374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741"/>
    <w:rsid w:val="00C32BBC"/>
    <w:rsid w:val="00D73741"/>
    <w:rsid w:val="00D95664"/>
    <w:rsid w:val="00D9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4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374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3741"/>
    <w:pPr>
      <w:spacing w:after="200" w:line="276" w:lineRule="auto"/>
      <w:ind w:left="720"/>
      <w:contextualSpacing/>
    </w:pPr>
  </w:style>
  <w:style w:type="character" w:customStyle="1" w:styleId="citation">
    <w:name w:val="citation"/>
    <w:basedOn w:val="Policepardfaut"/>
    <w:rsid w:val="00D73741"/>
  </w:style>
  <w:style w:type="character" w:customStyle="1" w:styleId="lang-en">
    <w:name w:val="lang-en"/>
    <w:basedOn w:val="Policepardfaut"/>
    <w:rsid w:val="00D73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arkhine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koul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s.com/products/storage-systems/content-platfor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.wikipedia.org/wiki/Navigateur_We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r.wikipedia.org/wiki/Bande_passante" TargetMode="External"/><Relationship Id="rId9" Type="http://schemas.openxmlformats.org/officeDocument/2006/relationships/hyperlink" Target="http://www.mobilegov.com/index.php/f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2010-09-23T20:04:00Z</dcterms:created>
  <dcterms:modified xsi:type="dcterms:W3CDTF">2010-09-23T20:05:00Z</dcterms:modified>
</cp:coreProperties>
</file>