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4" w:type="pct"/>
        <w:tblCellSpacing w:w="0" w:type="dxa"/>
        <w:tblLayout w:type="fixed"/>
        <w:tblCellMar>
          <w:left w:w="0" w:type="dxa"/>
          <w:right w:w="0" w:type="dxa"/>
        </w:tblCellMar>
        <w:tblLook w:val="04A0" w:firstRow="1" w:lastRow="0" w:firstColumn="1" w:lastColumn="0" w:noHBand="0" w:noVBand="1"/>
      </w:tblPr>
      <w:tblGrid>
        <w:gridCol w:w="9072"/>
        <w:gridCol w:w="21"/>
        <w:gridCol w:w="150"/>
      </w:tblGrid>
      <w:tr w:rsidR="00937B78" w:rsidRPr="00937B78" w:rsidTr="00937B78">
        <w:trPr>
          <w:tblCellSpacing w:w="0" w:type="dxa"/>
        </w:trPr>
        <w:tc>
          <w:tcPr>
            <w:tcW w:w="4908" w:type="pct"/>
            <w:tcMar>
              <w:top w:w="300" w:type="dxa"/>
              <w:left w:w="150" w:type="dxa"/>
              <w:bottom w:w="0" w:type="dxa"/>
              <w:right w:w="0" w:type="dxa"/>
            </w:tcMar>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34"/>
              <w:gridCol w:w="4628"/>
            </w:tblGrid>
            <w:tr w:rsidR="00937B78" w:rsidRPr="00937B78" w:rsidTr="00937B78">
              <w:trPr>
                <w:tblCellSpacing w:w="15" w:type="dxa"/>
              </w:trPr>
              <w:tc>
                <w:tcPr>
                  <w:tcW w:w="789" w:type="dxa"/>
                  <w:tcBorders>
                    <w:right w:val="single" w:sz="6" w:space="0" w:color="999999"/>
                  </w:tcBorders>
                  <w:tcMar>
                    <w:top w:w="15" w:type="dxa"/>
                    <w:left w:w="15" w:type="dxa"/>
                    <w:bottom w:w="15" w:type="dxa"/>
                    <w:right w:w="75" w:type="dxa"/>
                  </w:tcMar>
                  <w:vAlign w:val="center"/>
                  <w:hideMark/>
                </w:tcPr>
                <w:p w:rsidR="00937B78" w:rsidRPr="00937B78" w:rsidRDefault="00937B78" w:rsidP="00937B78">
                  <w:pPr>
                    <w:shd w:val="clear" w:color="auto" w:fill="AC9E95"/>
                    <w:spacing w:after="0" w:line="240" w:lineRule="auto"/>
                    <w:jc w:val="both"/>
                    <w:rPr>
                      <w:rFonts w:ascii="Times New Roman" w:eastAsia="Times New Roman" w:hAnsi="Times New Roman" w:cs="Times New Roman"/>
                      <w:color w:val="FFFFFF"/>
                      <w:sz w:val="15"/>
                      <w:szCs w:val="15"/>
                      <w:lang w:eastAsia="fr-FR"/>
                    </w:rPr>
                  </w:pPr>
                  <w:bookmarkStart w:id="0" w:name="_GoBack"/>
                  <w:bookmarkEnd w:id="0"/>
                  <w:r w:rsidRPr="00937B78">
                    <w:rPr>
                      <w:rFonts w:ascii="Times New Roman" w:eastAsia="Times New Roman" w:hAnsi="Times New Roman" w:cs="Times New Roman"/>
                      <w:color w:val="FFFFFF"/>
                      <w:sz w:val="15"/>
                      <w:szCs w:val="15"/>
                      <w:lang w:eastAsia="fr-FR"/>
                    </w:rPr>
                    <w:t>09/04/2015</w:t>
                  </w:r>
                </w:p>
              </w:tc>
              <w:tc>
                <w:tcPr>
                  <w:tcW w:w="4583"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 Thème du droit du travail : </w:t>
                  </w:r>
                  <w:hyperlink r:id="rId5" w:tooltip="Accéder à la home thématique " w:history="1">
                    <w:r w:rsidRPr="00937B78">
                      <w:rPr>
                        <w:rFonts w:ascii="Times New Roman" w:eastAsia="Times New Roman" w:hAnsi="Times New Roman" w:cs="Times New Roman"/>
                        <w:b/>
                        <w:bCs/>
                        <w:color w:val="505050"/>
                        <w:sz w:val="24"/>
                        <w:szCs w:val="24"/>
                        <w:lang w:eastAsia="fr-FR"/>
                      </w:rPr>
                      <w:t xml:space="preserve">Contrat de travail </w:t>
                    </w:r>
                  </w:hyperlink>
                </w:p>
              </w:tc>
            </w:tr>
          </w:tbl>
          <w:p w:rsidR="00937B78" w:rsidRPr="00937B78" w:rsidRDefault="00937B78" w:rsidP="00937B78">
            <w:pPr>
              <w:spacing w:after="0" w:line="240" w:lineRule="auto"/>
              <w:jc w:val="both"/>
              <w:rPr>
                <w:rFonts w:ascii="Times New Roman" w:eastAsia="Times New Roman" w:hAnsi="Times New Roman" w:cs="Times New Roman"/>
                <w:color w:val="505050"/>
                <w:sz w:val="24"/>
                <w:szCs w:val="24"/>
                <w:lang w:eastAsia="fr-FR"/>
              </w:rPr>
            </w:pPr>
          </w:p>
        </w:tc>
        <w:tc>
          <w:tcPr>
            <w:tcW w:w="92" w:type="pct"/>
            <w:gridSpan w:val="2"/>
            <w:tcMar>
              <w:top w:w="300" w:type="dxa"/>
              <w:left w:w="150" w:type="dxa"/>
              <w:bottom w:w="0" w:type="dxa"/>
              <w:right w:w="0" w:type="dxa"/>
            </w:tcMar>
            <w:vAlign w:val="center"/>
            <w:hideMark/>
          </w:tcPr>
          <w:p w:rsidR="00937B78" w:rsidRPr="00937B78" w:rsidRDefault="00937B78" w:rsidP="00937B78">
            <w:pPr>
              <w:spacing w:after="0" w:line="240" w:lineRule="auto"/>
              <w:jc w:val="both"/>
              <w:rPr>
                <w:rFonts w:ascii="Times New Roman" w:eastAsia="Times New Roman" w:hAnsi="Times New Roman" w:cs="Times New Roman"/>
                <w:color w:val="505050"/>
                <w:sz w:val="24"/>
                <w:szCs w:val="24"/>
                <w:lang w:eastAsia="fr-FR"/>
              </w:rPr>
            </w:pPr>
            <w:r w:rsidRPr="00937B78">
              <w:rPr>
                <w:rFonts w:ascii="Times New Roman" w:eastAsia="Times New Roman" w:hAnsi="Times New Roman" w:cs="Times New Roman"/>
                <w:color w:val="505050"/>
                <w:sz w:val="24"/>
                <w:szCs w:val="24"/>
                <w:lang w:eastAsia="fr-FR"/>
              </w:rPr>
              <w:t> </w:t>
            </w:r>
          </w:p>
        </w:tc>
      </w:tr>
      <w:tr w:rsidR="00937B78" w:rsidRPr="00937B78" w:rsidTr="00937B78">
        <w:trPr>
          <w:tblCellSpacing w:w="0" w:type="dxa"/>
        </w:trPr>
        <w:tc>
          <w:tcPr>
            <w:tcW w:w="4908" w:type="pct"/>
            <w:tcMar>
              <w:top w:w="150" w:type="dxa"/>
              <w:left w:w="150" w:type="dxa"/>
              <w:bottom w:w="0" w:type="dxa"/>
              <w:right w:w="0" w:type="dxa"/>
            </w:tcMar>
            <w:vAlign w:val="center"/>
            <w:hideMark/>
          </w:tcPr>
          <w:tbl>
            <w:tblPr>
              <w:tblW w:w="5000" w:type="pct"/>
              <w:tblCellSpacing w:w="0" w:type="dxa"/>
              <w:tblLayout w:type="fixed"/>
              <w:tblCellMar>
                <w:left w:w="0" w:type="dxa"/>
                <w:right w:w="0" w:type="dxa"/>
              </w:tblCellMar>
              <w:tblLook w:val="04A0" w:firstRow="1" w:lastRow="0" w:firstColumn="1" w:lastColumn="0" w:noHBand="0" w:noVBand="1"/>
            </w:tblPr>
            <w:tblGrid>
              <w:gridCol w:w="8922"/>
            </w:tblGrid>
            <w:tr w:rsidR="00937B78" w:rsidRPr="00937B78" w:rsidTr="00937B78">
              <w:trPr>
                <w:tblCellSpacing w:w="0" w:type="dxa"/>
              </w:trPr>
              <w:tc>
                <w:tcPr>
                  <w:tcW w:w="5595" w:type="dxa"/>
                  <w:hideMark/>
                </w:tcPr>
                <w:p w:rsidR="00937B78" w:rsidRPr="00937B78" w:rsidRDefault="00937B78" w:rsidP="00937B78">
                  <w:pPr>
                    <w:pBdr>
                      <w:left w:val="single" w:sz="24" w:space="4" w:color="9A0303"/>
                    </w:pBdr>
                    <w:spacing w:after="0" w:line="240" w:lineRule="auto"/>
                    <w:jc w:val="both"/>
                    <w:rPr>
                      <w:rFonts w:ascii="Times New Roman" w:eastAsia="Times New Roman" w:hAnsi="Times New Roman" w:cs="Times New Roman"/>
                      <w:bCs/>
                      <w:color w:val="4A362A"/>
                      <w:kern w:val="36"/>
                      <w:sz w:val="28"/>
                      <w:szCs w:val="28"/>
                      <w:lang w:eastAsia="fr-FR"/>
                    </w:rPr>
                  </w:pPr>
                  <w:r w:rsidRPr="00937B78">
                    <w:rPr>
                      <w:rFonts w:ascii="Times New Roman" w:eastAsia="Times New Roman" w:hAnsi="Times New Roman" w:cs="Times New Roman"/>
                      <w:bCs/>
                      <w:color w:val="4A362A"/>
                      <w:kern w:val="36"/>
                      <w:sz w:val="28"/>
                      <w:szCs w:val="28"/>
                      <w:lang w:eastAsia="fr-FR"/>
                    </w:rPr>
                    <w:t xml:space="preserve">Une ordonnance vient de poser les conditions d’exercice du portage salarial. Ordonnance n° 2015-380 du 2 avril 2015 relative au portage salarial, </w:t>
                  </w:r>
                </w:p>
                <w:p w:rsidR="00937B78" w:rsidRPr="00937B78" w:rsidRDefault="00937B78" w:rsidP="00937B78">
                  <w:pPr>
                    <w:pBdr>
                      <w:left w:val="single" w:sz="24" w:space="4" w:color="9A0303"/>
                    </w:pBdr>
                    <w:spacing w:after="0" w:line="240" w:lineRule="auto"/>
                    <w:jc w:val="both"/>
                    <w:rPr>
                      <w:rFonts w:ascii="Times New Roman" w:eastAsia="Times New Roman" w:hAnsi="Times New Roman" w:cs="Times New Roman"/>
                      <w:bCs/>
                      <w:color w:val="4A362A"/>
                      <w:kern w:val="36"/>
                      <w:sz w:val="28"/>
                      <w:szCs w:val="28"/>
                      <w:lang w:eastAsia="fr-FR"/>
                    </w:rPr>
                  </w:pPr>
                  <w:r w:rsidRPr="00937B78">
                    <w:rPr>
                      <w:rFonts w:ascii="Times New Roman" w:eastAsia="Times New Roman" w:hAnsi="Times New Roman" w:cs="Times New Roman"/>
                      <w:bCs/>
                      <w:color w:val="4A362A"/>
                      <w:kern w:val="36"/>
                      <w:sz w:val="28"/>
                      <w:szCs w:val="28"/>
                      <w:lang w:eastAsia="fr-FR"/>
                    </w:rPr>
                    <w:t>Jo du 3</w:t>
                  </w:r>
                </w:p>
                <w:p w:rsidR="00937B78" w:rsidRPr="00937B78" w:rsidRDefault="00937B78" w:rsidP="00937B78">
                  <w:pPr>
                    <w:pBdr>
                      <w:left w:val="single" w:sz="24" w:space="4" w:color="9A0303"/>
                    </w:pBdr>
                    <w:spacing w:after="0" w:line="240" w:lineRule="auto"/>
                    <w:jc w:val="both"/>
                    <w:rPr>
                      <w:rFonts w:ascii="Times New Roman" w:eastAsia="Times New Roman" w:hAnsi="Times New Roman" w:cs="Times New Roman"/>
                      <w:bCs/>
                      <w:color w:val="4A362A"/>
                      <w:kern w:val="36"/>
                      <w:sz w:val="28"/>
                      <w:szCs w:val="28"/>
                      <w:lang w:eastAsia="fr-FR"/>
                    </w:rPr>
                  </w:pPr>
                  <w:r w:rsidRPr="00937B78">
                    <w:rPr>
                      <w:rFonts w:ascii="Times New Roman" w:eastAsia="Times New Roman" w:hAnsi="Times New Roman" w:cs="Times New Roman"/>
                      <w:bCs/>
                      <w:color w:val="4A362A"/>
                      <w:kern w:val="36"/>
                      <w:sz w:val="28"/>
                      <w:szCs w:val="28"/>
                      <w:lang w:eastAsia="fr-FR"/>
                    </w:rPr>
                    <w:t xml:space="preserve">Loi n° 2014-1545 du 20 décembre 2014 relative à la simplification de la vie des entreprises et portant diverses dispositions de simplification et de clarification du droit et des procédures administratives, </w:t>
                  </w:r>
                </w:p>
                <w:p w:rsidR="00937B78" w:rsidRPr="00937B78" w:rsidRDefault="00937B78" w:rsidP="00937B78">
                  <w:pPr>
                    <w:pBdr>
                      <w:left w:val="single" w:sz="24" w:space="4" w:color="9A0303"/>
                    </w:pBdr>
                    <w:spacing w:after="0" w:line="240" w:lineRule="auto"/>
                    <w:jc w:val="both"/>
                    <w:rPr>
                      <w:rFonts w:ascii="Times New Roman" w:eastAsia="Times New Roman" w:hAnsi="Times New Roman" w:cs="Times New Roman"/>
                      <w:b/>
                      <w:bCs/>
                      <w:color w:val="4A362A"/>
                      <w:kern w:val="36"/>
                      <w:sz w:val="36"/>
                      <w:szCs w:val="36"/>
                      <w:lang w:eastAsia="fr-FR"/>
                    </w:rPr>
                  </w:pPr>
                  <w:r w:rsidRPr="00937B78">
                    <w:rPr>
                      <w:rFonts w:ascii="Times New Roman" w:eastAsia="Times New Roman" w:hAnsi="Times New Roman" w:cs="Times New Roman"/>
                      <w:bCs/>
                      <w:color w:val="4A362A"/>
                      <w:kern w:val="36"/>
                      <w:sz w:val="28"/>
                      <w:szCs w:val="28"/>
                      <w:lang w:eastAsia="fr-FR"/>
                    </w:rPr>
                    <w:t>Jo du 21Portage salarial : nouvelles dispositions intégrées dans le Code du travail</w:t>
                  </w:r>
                </w:p>
              </w:tc>
            </w:tr>
            <w:tr w:rsidR="00937B78" w:rsidRPr="00937B78" w:rsidTr="00937B78">
              <w:trPr>
                <w:tblCellSpacing w:w="0" w:type="dxa"/>
              </w:trPr>
              <w:tc>
                <w:tcPr>
                  <w:tcW w:w="5595" w:type="dxa"/>
                  <w:tcMar>
                    <w:top w:w="150" w:type="dxa"/>
                    <w:left w:w="150" w:type="dxa"/>
                    <w:bottom w:w="0" w:type="dxa"/>
                    <w:right w:w="150" w:type="dxa"/>
                  </w:tcMar>
                  <w:hideMark/>
                </w:tcPr>
                <w:p w:rsidR="00937B78" w:rsidRPr="00937B78" w:rsidRDefault="00937B78" w:rsidP="00937B78">
                  <w:pPr>
                    <w:spacing w:after="0" w:line="240" w:lineRule="auto"/>
                    <w:jc w:val="both"/>
                    <w:rPr>
                      <w:rFonts w:ascii="Times New Roman" w:eastAsia="Times New Roman" w:hAnsi="Times New Roman" w:cs="Times New Roman"/>
                      <w:b/>
                      <w:bCs/>
                      <w:color w:val="000000"/>
                      <w:sz w:val="24"/>
                      <w:szCs w:val="24"/>
                      <w:lang w:eastAsia="fr-FR"/>
                    </w:rPr>
                  </w:pPr>
                  <w:r w:rsidRPr="00937B78">
                    <w:rPr>
                      <w:rFonts w:ascii="Times New Roman" w:eastAsia="Times New Roman" w:hAnsi="Times New Roman" w:cs="Times New Roman"/>
                      <w:b/>
                      <w:bCs/>
                      <w:color w:val="000000"/>
                      <w:sz w:val="24"/>
                      <w:szCs w:val="24"/>
                      <w:lang w:eastAsia="fr-FR"/>
                    </w:rPr>
                    <w:t>Les conditions de l’exercice du portage salarial viennent d’être codifiées. Elles concernent notamment les modalités du recours au portage, le contrat de travail du salarié porté, sa rémunération minimale. Sachez que si vous avez recours au portage salarial, la durée des missions, les motifs du recours sont très encadrés.</w:t>
                  </w:r>
                </w:p>
              </w:tc>
            </w:tr>
          </w:tbl>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p>
        </w:tc>
        <w:tc>
          <w:tcPr>
            <w:tcW w:w="92" w:type="pct"/>
            <w:gridSpan w:val="2"/>
            <w:tcMar>
              <w:top w:w="150" w:type="dxa"/>
              <w:left w:w="150" w:type="dxa"/>
              <w:bottom w:w="0" w:type="dxa"/>
              <w:right w:w="0" w:type="dxa"/>
            </w:tcMa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b/>
                <w:bCs/>
                <w:noProof/>
                <w:color w:val="0C0C6E"/>
                <w:sz w:val="15"/>
                <w:szCs w:val="15"/>
                <w:lang w:eastAsia="fr-FR"/>
              </w:rPr>
              <w:drawing>
                <wp:inline distT="0" distB="0" distL="0" distR="0" wp14:anchorId="4E492F22" wp14:editId="4E0CAB7F">
                  <wp:extent cx="2857500" cy="2381250"/>
                  <wp:effectExtent l="0" t="0" r="0" b="0"/>
                  <wp:docPr id="1" name="Image 1" descr="http://www.editions-tissot.com/images/vignettes/SEsite.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ditions-tissot.com/images/vignettes/SEsite.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tc>
      </w:tr>
      <w:tr w:rsidR="00937B78" w:rsidRPr="00937B78" w:rsidTr="00937B78">
        <w:trPr>
          <w:gridAfter w:val="1"/>
          <w:wAfter w:w="81" w:type="pct"/>
          <w:tblCellSpacing w:w="0" w:type="dxa"/>
        </w:trPr>
        <w:tc>
          <w:tcPr>
            <w:tcW w:w="4908" w:type="pct"/>
            <w:vAlign w:val="center"/>
            <w:hideMark/>
          </w:tcPr>
          <w:p w:rsidR="00937B78" w:rsidRPr="00937B78" w:rsidRDefault="00937B78" w:rsidP="00937B78">
            <w:pPr>
              <w:spacing w:after="0" w:line="240" w:lineRule="auto"/>
              <w:jc w:val="both"/>
              <w:rPr>
                <w:rFonts w:ascii="Times New Roman" w:eastAsia="Times New Roman" w:hAnsi="Times New Roman" w:cs="Times New Roman"/>
                <w:color w:val="505050"/>
                <w:sz w:val="24"/>
                <w:szCs w:val="24"/>
                <w:lang w:eastAsia="fr-FR"/>
              </w:rPr>
            </w:pPr>
            <w:r w:rsidRPr="00937B78">
              <w:rPr>
                <w:rFonts w:ascii="Times New Roman" w:eastAsia="Times New Roman" w:hAnsi="Times New Roman" w:cs="Times New Roman"/>
                <w:noProof/>
                <w:color w:val="505050"/>
                <w:sz w:val="24"/>
                <w:szCs w:val="24"/>
                <w:lang w:eastAsia="fr-FR"/>
              </w:rPr>
              <w:drawing>
                <wp:inline distT="0" distB="0" distL="0" distR="0" wp14:anchorId="68A202DE" wp14:editId="3482AA79">
                  <wp:extent cx="133350" cy="133350"/>
                  <wp:effectExtent l="0" t="0" r="0" b="0"/>
                  <wp:docPr id="2" name="Image 2" descr="http://www.editions-tissot.fr/images/imagesv2/enews/ea_picto_motcles_art_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ditions-tissot.fr/images/imagesv2/enews/ea_picto_motcles_art_to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 w:type="pct"/>
            <w:vMerge w:val="restart"/>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p>
        </w:tc>
      </w:tr>
      <w:tr w:rsidR="00937B78" w:rsidRPr="00937B78" w:rsidTr="00937B78">
        <w:trPr>
          <w:gridAfter w:val="1"/>
          <w:wAfter w:w="81" w:type="pct"/>
          <w:tblCellSpacing w:w="0" w:type="dxa"/>
        </w:trPr>
        <w:tc>
          <w:tcPr>
            <w:tcW w:w="4908" w:type="pct"/>
            <w:tcMar>
              <w:top w:w="150" w:type="dxa"/>
              <w:left w:w="225" w:type="dxa"/>
              <w:bottom w:w="300" w:type="dxa"/>
              <w:right w:w="225" w:type="dxa"/>
            </w:tcMar>
            <w:vAlign w:val="center"/>
            <w:hideMark/>
          </w:tcPr>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En 2008, la loi de modernisation du marché du travail introduisait le portage salarial dans le </w:t>
            </w:r>
            <w:hyperlink r:id="rId9" w:history="1">
              <w:r w:rsidRPr="00937B78">
                <w:rPr>
                  <w:rFonts w:ascii="Times New Roman" w:eastAsia="Times New Roman" w:hAnsi="Times New Roman" w:cs="Times New Roman"/>
                  <w:color w:val="0C0C6E"/>
                  <w:sz w:val="18"/>
                  <w:szCs w:val="18"/>
                  <w:u w:val="single"/>
                  <w:lang w:eastAsia="fr-FR"/>
                </w:rPr>
                <w:t>Code du travail</w:t>
              </w:r>
            </w:hyperlink>
            <w:r w:rsidRPr="00937B78">
              <w:rPr>
                <w:rFonts w:ascii="Times New Roman" w:eastAsia="Times New Roman" w:hAnsi="Times New Roman" w:cs="Times New Roman"/>
                <w:sz w:val="24"/>
                <w:szCs w:val="24"/>
                <w:lang w:eastAsia="fr-FR"/>
              </w:rPr>
              <w:t xml:space="preserve"> (art. </w:t>
            </w:r>
            <w:hyperlink r:id="rId10" w:history="1">
              <w:r w:rsidRPr="00937B78">
                <w:rPr>
                  <w:rFonts w:ascii="Times New Roman" w:eastAsia="Times New Roman" w:hAnsi="Times New Roman" w:cs="Times New Roman"/>
                  <w:color w:val="0C0C6E"/>
                  <w:sz w:val="18"/>
                  <w:szCs w:val="18"/>
                  <w:u w:val="single"/>
                  <w:lang w:eastAsia="fr-FR"/>
                </w:rPr>
                <w:t>L. 1251-64</w:t>
              </w:r>
            </w:hyperlink>
            <w:r w:rsidRPr="00937B78">
              <w:rPr>
                <w:rFonts w:ascii="Times New Roman" w:eastAsia="Times New Roman" w:hAnsi="Times New Roman" w:cs="Times New Roman"/>
                <w:sz w:val="24"/>
                <w:szCs w:val="24"/>
                <w:lang w:eastAsia="fr-FR"/>
              </w:rPr>
              <w:t xml:space="preserve">). Mais la loi avait confié l’organisation des relations contractuelles à la branche professionnelle. Un accord de branche, daté du 24 juin 2010, a été étendu par arrêté du 24 mai 2013. Mais le Conseil constitutionnel a déclaré la disposition de la loi de modernisation inconstitutionnelle. Les règles relatives à l’organisation du portage salarial devaient être mises en place </w:t>
            </w:r>
            <w:r w:rsidRPr="00937B78">
              <w:rPr>
                <w:rFonts w:ascii="Times New Roman" w:eastAsia="Times New Roman" w:hAnsi="Times New Roman" w:cs="Times New Roman"/>
                <w:b/>
                <w:sz w:val="24"/>
                <w:szCs w:val="24"/>
                <w:lang w:eastAsia="fr-FR"/>
              </w:rPr>
              <w:t>par le législateur</w:t>
            </w:r>
            <w:r w:rsidRPr="00937B78">
              <w:rPr>
                <w:rFonts w:ascii="Times New Roman" w:eastAsia="Times New Roman" w:hAnsi="Times New Roman" w:cs="Times New Roman"/>
                <w:sz w:val="24"/>
                <w:szCs w:val="24"/>
                <w:lang w:eastAsia="fr-FR"/>
              </w:rPr>
              <w:t xml:space="preserve">. </w:t>
            </w:r>
          </w:p>
          <w:tbl>
            <w:tblPr>
              <w:tblW w:w="7500" w:type="dxa"/>
              <w:tblCellSpacing w:w="0" w:type="dxa"/>
              <w:tblLayout w:type="fixed"/>
              <w:tblCellMar>
                <w:left w:w="0" w:type="dxa"/>
                <w:right w:w="0" w:type="dxa"/>
              </w:tblCellMar>
              <w:tblLook w:val="04A0" w:firstRow="1" w:lastRow="0" w:firstColumn="1" w:lastColumn="0" w:noHBand="0" w:noVBand="1"/>
            </w:tblPr>
            <w:tblGrid>
              <w:gridCol w:w="180"/>
              <w:gridCol w:w="7190"/>
              <w:gridCol w:w="130"/>
            </w:tblGrid>
            <w:tr w:rsidR="00937B78" w:rsidRPr="00937B78" w:rsidTr="00937B78">
              <w:trPr>
                <w:trHeight w:val="130"/>
                <w:tblCellSpacing w:w="0" w:type="dxa"/>
              </w:trPr>
              <w:tc>
                <w:tcPr>
                  <w:tcW w:w="12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3D89E05D" wp14:editId="6D713263">
                        <wp:extent cx="114300" cy="120650"/>
                        <wp:effectExtent l="0" t="0" r="0" b="0"/>
                        <wp:docPr id="3" name="Image 3" descr="http://www.editions-tissot.fr/Images/imagesv2/css_guide/commentaires/commentaires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ditions-tissot.fr/Images/imagesv2/css_guide/commentaires/commentairesh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2AA701AB" wp14:editId="63F7C0C8">
                        <wp:extent cx="6350" cy="6350"/>
                        <wp:effectExtent l="0" t="0" r="0" b="0"/>
                        <wp:docPr id="4" name="Image 4" descr="http://www.editions-tissot.fr/Images/imagesv2/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ditions-tissot.fr/Images/imagesv2/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32AB9352" wp14:editId="7B3F8262">
                        <wp:extent cx="82550" cy="120650"/>
                        <wp:effectExtent l="0" t="0" r="0" b="0"/>
                        <wp:docPr id="5" name="Image 5" descr="http://www.editions-tissot.fr/Images/imagesv2/css_guide/commentaires/commentaires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ditions-tissot.fr/Images/imagesv2/css_guide/commentaires/commentairesh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1206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34EEC250" wp14:editId="46A14271">
                        <wp:extent cx="1028700" cy="190500"/>
                        <wp:effectExtent l="0" t="0" r="0" b="0"/>
                        <wp:docPr id="6" name="Image 6" descr="http://www.editions-tissot.fr/Images/imagesv2/css_guide/commentaires/commentaires_notez-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ditions-tissot.fr/Images/imagesv2/css_guide/commentaires/commentaires_notez-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6B16A544" wp14:editId="1C4B999E">
                        <wp:extent cx="114300" cy="381000"/>
                        <wp:effectExtent l="0" t="0" r="0" b="0"/>
                        <wp:docPr id="7" name="Image 7" descr="http://www.editions-tissot.fr/Images/imagesv2/css_guide/commentaires/commentair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ditions-tissot.fr/Images/imagesv2/css_guide/commentaires/commentaires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38100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color w:val="FF0000"/>
                      <w:sz w:val="24"/>
                      <w:szCs w:val="24"/>
                      <w:lang w:eastAsia="fr-FR"/>
                    </w:rPr>
                    <w:t>Cette ordonnance doit faire l’objet d’un projet de loi de ratification déposé devant le Parlement dans un délai de 5 mois à compter de la publication de l’ordonnance, soit d’ici le 3 septembre.</w:t>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5ECF153E" wp14:editId="17B269C6">
                        <wp:extent cx="82550" cy="323850"/>
                        <wp:effectExtent l="0" t="0" r="0" b="0"/>
                        <wp:docPr id="8" name="Image 8" descr="http://www.editions-tissot.fr/Images/imagesv2/css_guide/commentaires/commentaire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ditions-tissot.fr/Images/imagesv2/css_guide/commentaires/commentaires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 cy="3238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496EC8F5" wp14:editId="0422AD63">
                        <wp:extent cx="114300" cy="158750"/>
                        <wp:effectExtent l="0" t="0" r="0" b="0"/>
                        <wp:docPr id="9" name="Image 9" descr="http://www.editions-tissot.fr/Images/imagesv2/css_guide/commentaires/commentaire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ditions-tissot.fr/Images/imagesv2/css_guide/commentaires/commentairesb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3A204C40" wp14:editId="00398118">
                        <wp:extent cx="552450" cy="158750"/>
                        <wp:effectExtent l="0" t="0" r="0" b="0"/>
                        <wp:docPr id="10" name="Image 10" descr="http://www.editions-tissot.fr/Images/imagesv2/css_guide/commentaires/commentair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ditions-tissot.fr/Images/imagesv2/css_guide/commentaires/commentaires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5875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041A06A6" wp14:editId="3B71B295">
                        <wp:extent cx="82550" cy="158750"/>
                        <wp:effectExtent l="0" t="0" r="0" b="0"/>
                        <wp:docPr id="11" name="Image 11" descr="http://www.editions-tissot.fr/Images/imagesv2/css_guide/commentaires/commentaires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ditions-tissot.fr/Images/imagesv2/css_guide/commentaires/commentairesb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p>
              </w:tc>
            </w:tr>
          </w:tbl>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b/>
                <w:bCs/>
                <w:color w:val="4A362A"/>
                <w:sz w:val="21"/>
                <w:szCs w:val="21"/>
                <w:lang w:eastAsia="fr-FR"/>
              </w:rPr>
            </w:pPr>
            <w:r w:rsidRPr="00937B78">
              <w:rPr>
                <w:rFonts w:ascii="Times New Roman" w:eastAsia="Times New Roman" w:hAnsi="Times New Roman" w:cs="Times New Roman"/>
                <w:b/>
                <w:bCs/>
                <w:color w:val="4A362A"/>
                <w:sz w:val="21"/>
                <w:szCs w:val="21"/>
                <w:lang w:eastAsia="fr-FR"/>
              </w:rPr>
              <w:t>Portage salarial : définition</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Le portage salarial se caractérise par une </w:t>
            </w:r>
            <w:r w:rsidRPr="00937B78">
              <w:rPr>
                <w:rFonts w:ascii="Times New Roman" w:eastAsia="Times New Roman" w:hAnsi="Times New Roman" w:cs="Times New Roman"/>
                <w:b/>
                <w:sz w:val="24"/>
                <w:szCs w:val="24"/>
                <w:lang w:eastAsia="fr-FR"/>
              </w:rPr>
              <w:t>relation entre 3 parties</w:t>
            </w:r>
            <w:r w:rsidRPr="00937B78">
              <w:rPr>
                <w:rFonts w:ascii="Times New Roman" w:eastAsia="Times New Roman" w:hAnsi="Times New Roman" w:cs="Times New Roman"/>
                <w:sz w:val="24"/>
                <w:szCs w:val="24"/>
                <w:lang w:eastAsia="fr-FR"/>
              </w:rPr>
              <w:t xml:space="preserve"> :</w:t>
            </w:r>
          </w:p>
          <w:p w:rsidR="00937B78" w:rsidRPr="00937B78" w:rsidRDefault="00937B78" w:rsidP="00937B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l’entreprise de portage salarial qui réalise une prestation de portage salarial ;</w:t>
            </w:r>
          </w:p>
          <w:p w:rsidR="00937B78" w:rsidRPr="00937B78" w:rsidRDefault="00937B78" w:rsidP="00937B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 salarié porté qui est titulaire d’un contrat de travail en portage salarial. Il est salarié de l’entreprise de portage ;</w:t>
            </w:r>
          </w:p>
          <w:p w:rsidR="00937B78" w:rsidRPr="00937B78" w:rsidRDefault="00937B78" w:rsidP="00937B7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l’entreprise cliente qui a recours à une prestation de portage salarial.</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La relation de portage salarial s’organise ainsi autour de </w:t>
            </w:r>
            <w:r w:rsidRPr="00937B78">
              <w:rPr>
                <w:rFonts w:ascii="Times New Roman" w:eastAsia="Times New Roman" w:hAnsi="Times New Roman" w:cs="Times New Roman"/>
                <w:b/>
                <w:sz w:val="24"/>
                <w:szCs w:val="24"/>
                <w:lang w:eastAsia="fr-FR"/>
              </w:rPr>
              <w:t>2 contrats</w:t>
            </w:r>
            <w:r w:rsidRPr="00937B78">
              <w:rPr>
                <w:rFonts w:ascii="Times New Roman" w:eastAsia="Times New Roman" w:hAnsi="Times New Roman" w:cs="Times New Roman"/>
                <w:sz w:val="24"/>
                <w:szCs w:val="24"/>
                <w:lang w:eastAsia="fr-FR"/>
              </w:rPr>
              <w:t xml:space="preserve"> :</w:t>
            </w:r>
          </w:p>
          <w:p w:rsidR="00937B78" w:rsidRPr="00937B78" w:rsidRDefault="00937B78" w:rsidP="00937B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un contrat de travail liant le salarié porté et l’entreprise de portage salarial ;</w:t>
            </w:r>
          </w:p>
          <w:p w:rsidR="00937B78" w:rsidRPr="00937B78" w:rsidRDefault="00937B78" w:rsidP="00937B7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un contrat commercial de prestation de portage salarial liant l’entreprise cliente et l’entreprise de portage salarial.</w:t>
            </w:r>
          </w:p>
          <w:tbl>
            <w:tblPr>
              <w:tblW w:w="7500" w:type="dxa"/>
              <w:tblCellSpacing w:w="0" w:type="dxa"/>
              <w:tblLayout w:type="fixed"/>
              <w:tblCellMar>
                <w:left w:w="0" w:type="dxa"/>
                <w:right w:w="0" w:type="dxa"/>
              </w:tblCellMar>
              <w:tblLook w:val="04A0" w:firstRow="1" w:lastRow="0" w:firstColumn="1" w:lastColumn="0" w:noHBand="0" w:noVBand="1"/>
            </w:tblPr>
            <w:tblGrid>
              <w:gridCol w:w="180"/>
              <w:gridCol w:w="7190"/>
              <w:gridCol w:w="130"/>
            </w:tblGrid>
            <w:tr w:rsidR="00937B78" w:rsidRPr="00937B78" w:rsidTr="00937B78">
              <w:trPr>
                <w:trHeight w:val="130"/>
                <w:tblCellSpacing w:w="0" w:type="dxa"/>
              </w:trPr>
              <w:tc>
                <w:tcPr>
                  <w:tcW w:w="12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757DC825" wp14:editId="0021A04B">
                        <wp:extent cx="114300" cy="120650"/>
                        <wp:effectExtent l="0" t="0" r="0" b="0"/>
                        <wp:docPr id="12" name="Image 12" descr="http://www.editions-tissot.fr/Images/imagesv2/css_guide/commentaires/commentaires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ditions-tissot.fr/Images/imagesv2/css_guide/commentaires/commentairesh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75743C55" wp14:editId="391965D2">
                        <wp:extent cx="6350" cy="6350"/>
                        <wp:effectExtent l="0" t="0" r="0" b="0"/>
                        <wp:docPr id="13" name="Image 13" descr="http://www.editions-tissot.fr/Images/imagesv2/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ditions-tissot.fr/Images/imagesv2/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073B83B1" wp14:editId="74AEDAFD">
                        <wp:extent cx="82550" cy="120650"/>
                        <wp:effectExtent l="0" t="0" r="0" b="0"/>
                        <wp:docPr id="14" name="Image 14" descr="http://www.editions-tissot.fr/Images/imagesv2/css_guide/commentaires/commentaires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ditions-tissot.fr/Images/imagesv2/css_guide/commentaires/commentairesh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1206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137C5B1" wp14:editId="4F7BEBCD">
                        <wp:extent cx="1028700" cy="190500"/>
                        <wp:effectExtent l="0" t="0" r="0" b="0"/>
                        <wp:docPr id="15" name="Image 15" descr="http://www.editions-tissot.fr/Images/imagesv2/css_guide/commentaires/commentaires_notez-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ditions-tissot.fr/Images/imagesv2/css_guide/commentaires/commentaires_notez-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lastRenderedPageBreak/>
                    <w:drawing>
                      <wp:inline distT="0" distB="0" distL="0" distR="0" wp14:anchorId="23A7C71B" wp14:editId="259F589F">
                        <wp:extent cx="114300" cy="381000"/>
                        <wp:effectExtent l="0" t="0" r="0" b="0"/>
                        <wp:docPr id="16" name="Image 16" descr="http://www.editions-tissot.fr/Images/imagesv2/css_guide/commentaires/commentair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editions-tissot.fr/Images/imagesv2/css_guide/commentaires/commentaires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38100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La rupture du contrat commercial n’entraine pas la rupture du </w:t>
                  </w:r>
                  <w:hyperlink r:id="rId20" w:history="1">
                    <w:r w:rsidRPr="00937B78">
                      <w:rPr>
                        <w:rFonts w:ascii="Times New Roman" w:eastAsia="Times New Roman" w:hAnsi="Times New Roman" w:cs="Times New Roman"/>
                        <w:color w:val="0C0C6E"/>
                        <w:sz w:val="18"/>
                        <w:szCs w:val="18"/>
                        <w:u w:val="single"/>
                        <w:lang w:eastAsia="fr-FR"/>
                      </w:rPr>
                      <w:t>contrat de travail</w:t>
                    </w:r>
                  </w:hyperlink>
                  <w:r w:rsidRPr="00937B78">
                    <w:rPr>
                      <w:rFonts w:ascii="Times New Roman" w:eastAsia="Times New Roman" w:hAnsi="Times New Roman" w:cs="Times New Roman"/>
                      <w:sz w:val="24"/>
                      <w:szCs w:val="24"/>
                      <w:lang w:eastAsia="fr-FR"/>
                    </w:rPr>
                    <w:t xml:space="preserve"> du salarié porté.</w:t>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768E2C4C" wp14:editId="5A3C48E9">
                        <wp:extent cx="82550" cy="323850"/>
                        <wp:effectExtent l="0" t="0" r="0" b="0"/>
                        <wp:docPr id="17" name="Image 17" descr="http://www.editions-tissot.fr/Images/imagesv2/css_guide/commentaires/commentaire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editions-tissot.fr/Images/imagesv2/css_guide/commentaires/commentaires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 cy="3238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4746697A" wp14:editId="30B30E88">
                        <wp:extent cx="114300" cy="158750"/>
                        <wp:effectExtent l="0" t="0" r="0" b="0"/>
                        <wp:docPr id="18" name="Image 18" descr="http://www.editions-tissot.fr/Images/imagesv2/css_guide/commentaires/commentaire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editions-tissot.fr/Images/imagesv2/css_guide/commentaires/commentairesb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73494F8C" wp14:editId="1D2D21E9">
                        <wp:extent cx="552450" cy="158750"/>
                        <wp:effectExtent l="0" t="0" r="0" b="0"/>
                        <wp:docPr id="19" name="Image 19" descr="http://www.editions-tissot.fr/Images/imagesv2/css_guide/commentaires/commentair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editions-tissot.fr/Images/imagesv2/css_guide/commentaires/commentaires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5875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5E7DB315" wp14:editId="25EBE577">
                        <wp:extent cx="82550" cy="158750"/>
                        <wp:effectExtent l="0" t="0" r="0" b="0"/>
                        <wp:docPr id="20" name="Image 20" descr="http://www.editions-tissot.fr/Images/imagesv2/css_guide/commentaires/commentaires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editions-tissot.fr/Images/imagesv2/css_guide/commentaires/commentairesb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p>
              </w:tc>
            </w:tr>
          </w:tbl>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r w:rsidRPr="00937B78">
              <w:rPr>
                <w:rFonts w:ascii="Times New Roman" w:hAnsi="Times New Roman" w:cs="Times New Roman"/>
                <w:sz w:val="24"/>
                <w:szCs w:val="24"/>
                <w:lang w:eastAsia="fr-FR"/>
              </w:rPr>
              <w:t>Portage salarial : l’entreprise cliente</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Sachez que si vous êtes intéressé par le portage salarial, son </w:t>
            </w:r>
            <w:r w:rsidRPr="00937B78">
              <w:rPr>
                <w:rFonts w:ascii="Times New Roman" w:eastAsia="Times New Roman" w:hAnsi="Times New Roman" w:cs="Times New Roman"/>
                <w:b/>
                <w:sz w:val="24"/>
                <w:szCs w:val="24"/>
                <w:lang w:eastAsia="fr-FR"/>
              </w:rPr>
              <w:t>recours est limité</w:t>
            </w:r>
            <w:r w:rsidRPr="00937B78">
              <w:rPr>
                <w:rFonts w:ascii="Times New Roman" w:eastAsia="Times New Roman" w:hAnsi="Times New Roman" w:cs="Times New Roman"/>
                <w:sz w:val="24"/>
                <w:szCs w:val="24"/>
                <w:lang w:eastAsia="fr-FR"/>
              </w:rPr>
              <w:t xml:space="preserve"> :</w:t>
            </w:r>
          </w:p>
          <w:p w:rsidR="00937B78" w:rsidRPr="00937B78" w:rsidRDefault="00937B78" w:rsidP="00937B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à des tâches occasionnelles ne relevant pas de votre activité normale et permanente </w:t>
            </w:r>
          </w:p>
          <w:p w:rsidR="00937B78" w:rsidRPr="00937B78" w:rsidRDefault="00937B78" w:rsidP="00937B78">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à une tâche ponctuelle nécessitant une expertise dont vous ne disposez pas en interne.</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937B78">
              <w:rPr>
                <w:rFonts w:ascii="Times New Roman" w:eastAsia="Times New Roman" w:hAnsi="Times New Roman" w:cs="Times New Roman"/>
                <w:b/>
                <w:sz w:val="24"/>
                <w:szCs w:val="24"/>
                <w:lang w:eastAsia="fr-FR"/>
              </w:rPr>
              <w:t>Son recours est interdit :</w:t>
            </w:r>
          </w:p>
          <w:p w:rsidR="00937B78" w:rsidRPr="00937B78" w:rsidRDefault="00937B78" w:rsidP="00937B7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pour remplacer un salarié dont le contrat de travail est suspendu à la suite d'un conflit collectif de travail ;</w:t>
            </w:r>
          </w:p>
          <w:p w:rsidR="00937B78" w:rsidRPr="00937B78" w:rsidRDefault="00937B78" w:rsidP="00937B78">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pour effectuer certains travaux particulièrement dangereux (Code du travail, art. </w:t>
            </w:r>
            <w:hyperlink r:id="rId21" w:history="1">
              <w:r w:rsidRPr="00937B78">
                <w:rPr>
                  <w:rFonts w:ascii="Times New Roman" w:eastAsia="Times New Roman" w:hAnsi="Times New Roman" w:cs="Times New Roman"/>
                  <w:color w:val="0C0C6E"/>
                  <w:sz w:val="18"/>
                  <w:szCs w:val="18"/>
                  <w:u w:val="single"/>
                  <w:lang w:eastAsia="fr-FR"/>
                </w:rPr>
                <w:t>L. 4154-1</w:t>
              </w:r>
            </w:hyperlink>
            <w:r w:rsidRPr="00937B78">
              <w:rPr>
                <w:rFonts w:ascii="Times New Roman" w:eastAsia="Times New Roman" w:hAnsi="Times New Roman" w:cs="Times New Roman"/>
                <w:sz w:val="24"/>
                <w:szCs w:val="24"/>
                <w:lang w:eastAsia="fr-FR"/>
              </w:rPr>
              <w:t>), sauf dérogation.</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937B78">
              <w:rPr>
                <w:rFonts w:ascii="Times New Roman" w:eastAsia="Times New Roman" w:hAnsi="Times New Roman" w:cs="Times New Roman"/>
                <w:sz w:val="24"/>
                <w:szCs w:val="24"/>
                <w:lang w:eastAsia="fr-FR"/>
              </w:rPr>
              <w:t xml:space="preserve">La durée de cette prestation ne peut excéder </w:t>
            </w:r>
            <w:r w:rsidRPr="00937B78">
              <w:rPr>
                <w:rFonts w:ascii="Times New Roman" w:eastAsia="Times New Roman" w:hAnsi="Times New Roman" w:cs="Times New Roman"/>
                <w:b/>
                <w:sz w:val="24"/>
                <w:szCs w:val="24"/>
                <w:lang w:eastAsia="fr-FR"/>
              </w:rPr>
              <w:t>la durée de 36 mois.</w:t>
            </w:r>
          </w:p>
          <w:p w:rsidR="00937B78" w:rsidRPr="00937B78" w:rsidRDefault="00937B78" w:rsidP="00937B78">
            <w:pPr>
              <w:pStyle w:val="Titre1"/>
              <w:rPr>
                <w:rFonts w:ascii="Times New Roman" w:eastAsia="Times New Roman" w:hAnsi="Times New Roman" w:cs="Times New Roman"/>
                <w:lang w:eastAsia="fr-FR"/>
              </w:rPr>
            </w:pPr>
            <w:r w:rsidRPr="00937B78">
              <w:rPr>
                <w:rFonts w:ascii="Times New Roman" w:eastAsia="Times New Roman" w:hAnsi="Times New Roman" w:cs="Times New Roman"/>
                <w:lang w:eastAsia="fr-FR"/>
              </w:rPr>
              <w:t>Portage salarial : le salarié porté</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Le salarié porté doit rechercher justifier d'une expertise, d'une qualification et d'une autonomie qui lui permet de lui-même ses clients et de convenir avec eux des conditions d'exécution de sa prestation et de son prix. C’est lui qui prospecte ses clients, qui </w:t>
            </w:r>
            <w:r>
              <w:rPr>
                <w:rFonts w:ascii="Times New Roman" w:eastAsia="Times New Roman" w:hAnsi="Times New Roman" w:cs="Times New Roman"/>
                <w:sz w:val="24"/>
                <w:szCs w:val="24"/>
                <w:lang w:eastAsia="fr-FR"/>
              </w:rPr>
              <w:t>négocie</w:t>
            </w:r>
            <w:r w:rsidRPr="00937B78">
              <w:rPr>
                <w:rFonts w:ascii="Times New Roman" w:eastAsia="Times New Roman" w:hAnsi="Times New Roman" w:cs="Times New Roman"/>
                <w:sz w:val="24"/>
                <w:szCs w:val="24"/>
                <w:lang w:eastAsia="fr-FR"/>
              </w:rPr>
              <w:t>le prix de la prestation. C’est le salarié qui recherche ses clients. En effet, l'entreprise de portage n'est pas tenue de fournir du travail au salarié porté.</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Le salarié porté bénéficie d'une </w:t>
            </w:r>
            <w:hyperlink r:id="rId22" w:history="1">
              <w:r w:rsidRPr="00937B78">
                <w:rPr>
                  <w:rFonts w:ascii="Times New Roman" w:eastAsia="Times New Roman" w:hAnsi="Times New Roman" w:cs="Times New Roman"/>
                  <w:color w:val="0C0C6E"/>
                  <w:sz w:val="18"/>
                  <w:szCs w:val="18"/>
                  <w:u w:val="single"/>
                  <w:lang w:eastAsia="fr-FR"/>
                </w:rPr>
                <w:t>rémunération</w:t>
              </w:r>
            </w:hyperlink>
            <w:r w:rsidRPr="00937B78">
              <w:rPr>
                <w:rFonts w:ascii="Times New Roman" w:eastAsia="Times New Roman" w:hAnsi="Times New Roman" w:cs="Times New Roman"/>
                <w:sz w:val="24"/>
                <w:szCs w:val="24"/>
                <w:lang w:eastAsia="fr-FR"/>
              </w:rPr>
              <w:t xml:space="preserve"> minimale définie par accord de branche étendu. A défaut d'accord de branche étendu, le montant de la rémunération mensuelle minimale est fixé </w:t>
            </w:r>
            <w:r w:rsidRPr="00937B78">
              <w:rPr>
                <w:rFonts w:ascii="Times New Roman" w:eastAsia="Times New Roman" w:hAnsi="Times New Roman" w:cs="Times New Roman"/>
                <w:b/>
                <w:sz w:val="24"/>
                <w:szCs w:val="24"/>
                <w:lang w:eastAsia="fr-FR"/>
              </w:rPr>
              <w:t>à 75 %</w:t>
            </w:r>
            <w:r w:rsidRPr="00937B78">
              <w:rPr>
                <w:rFonts w:ascii="Times New Roman" w:eastAsia="Times New Roman" w:hAnsi="Times New Roman" w:cs="Times New Roman"/>
                <w:sz w:val="24"/>
                <w:szCs w:val="24"/>
                <w:lang w:eastAsia="fr-FR"/>
              </w:rPr>
              <w:t xml:space="preserve"> de la valeur mensuelle du </w:t>
            </w:r>
            <w:hyperlink r:id="rId23" w:history="1">
              <w:r w:rsidRPr="00937B78">
                <w:rPr>
                  <w:rFonts w:ascii="Times New Roman" w:eastAsia="Times New Roman" w:hAnsi="Times New Roman" w:cs="Times New Roman"/>
                  <w:color w:val="0C0C6E"/>
                  <w:sz w:val="18"/>
                  <w:szCs w:val="18"/>
                  <w:u w:val="single"/>
                  <w:lang w:eastAsia="fr-FR"/>
                </w:rPr>
                <w:t>plafond de la Sécurité sociale</w:t>
              </w:r>
            </w:hyperlink>
            <w:r w:rsidRPr="00937B78">
              <w:rPr>
                <w:rFonts w:ascii="Times New Roman" w:eastAsia="Times New Roman" w:hAnsi="Times New Roman" w:cs="Times New Roman"/>
                <w:sz w:val="24"/>
                <w:szCs w:val="24"/>
                <w:lang w:eastAsia="fr-FR"/>
              </w:rPr>
              <w:t xml:space="preserve"> pour une activité équivalant à un temps plein. Le plafond mensuel de la Sécurité social 2015 est fixé à 3.170 euros, ce qui fait une rémunération mensuelle minimale de </w:t>
            </w:r>
            <w:r w:rsidRPr="00937B78">
              <w:rPr>
                <w:rFonts w:ascii="Times New Roman" w:eastAsia="Times New Roman" w:hAnsi="Times New Roman" w:cs="Times New Roman"/>
                <w:b/>
                <w:sz w:val="24"/>
                <w:szCs w:val="24"/>
                <w:lang w:eastAsia="fr-FR"/>
              </w:rPr>
              <w:t>2.377,50 euros par mois</w:t>
            </w:r>
            <w:r w:rsidRPr="00937B78">
              <w:rPr>
                <w:rFonts w:ascii="Times New Roman" w:eastAsia="Times New Roman" w:hAnsi="Times New Roman" w:cs="Times New Roman"/>
                <w:sz w:val="24"/>
                <w:szCs w:val="24"/>
                <w:lang w:eastAsia="fr-FR"/>
              </w:rPr>
              <w:t>.</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Le salarié porté </w:t>
            </w:r>
            <w:r w:rsidRPr="00937B78">
              <w:rPr>
                <w:rFonts w:ascii="Times New Roman" w:eastAsia="Times New Roman" w:hAnsi="Times New Roman" w:cs="Times New Roman"/>
                <w:b/>
                <w:sz w:val="24"/>
                <w:szCs w:val="24"/>
                <w:lang w:eastAsia="fr-FR"/>
              </w:rPr>
              <w:t>bénéficie également d’une indemnité d’apport d’affaire</w:t>
            </w:r>
            <w:r w:rsidRPr="00937B78">
              <w:rPr>
                <w:rFonts w:ascii="Times New Roman" w:eastAsia="Times New Roman" w:hAnsi="Times New Roman" w:cs="Times New Roman"/>
                <w:sz w:val="24"/>
                <w:szCs w:val="24"/>
                <w:lang w:eastAsia="fr-FR"/>
              </w:rPr>
              <w:t xml:space="preserve">. Elle est fixée par accord de branche étendu ou à défaut, le montant de l’indemnité est </w:t>
            </w:r>
            <w:r w:rsidRPr="00937B78">
              <w:rPr>
                <w:rFonts w:ascii="Times New Roman" w:eastAsia="Times New Roman" w:hAnsi="Times New Roman" w:cs="Times New Roman"/>
                <w:b/>
                <w:sz w:val="24"/>
                <w:szCs w:val="24"/>
                <w:lang w:eastAsia="fr-FR"/>
              </w:rPr>
              <w:t>fixé à 5 %</w:t>
            </w:r>
            <w:r w:rsidRPr="00937B78">
              <w:rPr>
                <w:rFonts w:ascii="Times New Roman" w:eastAsia="Times New Roman" w:hAnsi="Times New Roman" w:cs="Times New Roman"/>
                <w:sz w:val="24"/>
                <w:szCs w:val="24"/>
                <w:lang w:eastAsia="fr-FR"/>
              </w:rPr>
              <w:t xml:space="preserve"> de la rémunération.</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 contrat de travail du salarié porté est signé avec l’entreprise de portage salarial. C’est elle qui est l’employeur du salarié porté.</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Ce contrat peut être à durée indéterminée ou déterminée. Le contrat écrit doit comporter un certain nombre de mentions obligatoires.</w:t>
            </w:r>
          </w:p>
          <w:tbl>
            <w:tblPr>
              <w:tblW w:w="7500" w:type="dxa"/>
              <w:tblCellSpacing w:w="0" w:type="dxa"/>
              <w:tblLayout w:type="fixed"/>
              <w:tblCellMar>
                <w:left w:w="0" w:type="dxa"/>
                <w:right w:w="0" w:type="dxa"/>
              </w:tblCellMar>
              <w:tblLook w:val="04A0" w:firstRow="1" w:lastRow="0" w:firstColumn="1" w:lastColumn="0" w:noHBand="0" w:noVBand="1"/>
            </w:tblPr>
            <w:tblGrid>
              <w:gridCol w:w="180"/>
              <w:gridCol w:w="7190"/>
              <w:gridCol w:w="130"/>
            </w:tblGrid>
            <w:tr w:rsidR="00937B78" w:rsidRPr="00937B78" w:rsidTr="00937B78">
              <w:trPr>
                <w:trHeight w:val="130"/>
                <w:tblCellSpacing w:w="0" w:type="dxa"/>
              </w:trPr>
              <w:tc>
                <w:tcPr>
                  <w:tcW w:w="12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74C04F9" wp14:editId="100391EE">
                        <wp:extent cx="114300" cy="120650"/>
                        <wp:effectExtent l="0" t="0" r="0" b="0"/>
                        <wp:docPr id="21" name="Image 21" descr="http://www.editions-tissot.fr/Images/imagesv2/css_guide/commentaires/commentaires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editions-tissot.fr/Images/imagesv2/css_guide/commentaires/commentairesh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5A677DDA" wp14:editId="622A1AED">
                        <wp:extent cx="6350" cy="6350"/>
                        <wp:effectExtent l="0" t="0" r="0" b="0"/>
                        <wp:docPr id="22" name="Image 22" descr="http://www.editions-tissot.fr/Images/imagesv2/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editions-tissot.fr/Images/imagesv2/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4F53F347" wp14:editId="4B0C615F">
                        <wp:extent cx="82550" cy="120650"/>
                        <wp:effectExtent l="0" t="0" r="0" b="0"/>
                        <wp:docPr id="23" name="Image 23" descr="http://www.editions-tissot.fr/Images/imagesv2/css_guide/commentaires/commentaires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editions-tissot.fr/Images/imagesv2/css_guide/commentaires/commentairesh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1206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62A8D7E3" wp14:editId="52A7C1AC">
                        <wp:extent cx="1028700" cy="190500"/>
                        <wp:effectExtent l="0" t="0" r="0" b="0"/>
                        <wp:docPr id="24" name="Image 24" descr="http://www.editions-tissot.fr/Images/imagesv2/css_guide/commentaires/commentaires_notez-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editions-tissot.fr/Images/imagesv2/css_guide/commentaires/commentaires_notez-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lastRenderedPageBreak/>
                    <w:drawing>
                      <wp:inline distT="0" distB="0" distL="0" distR="0" wp14:anchorId="026F0B4A" wp14:editId="23133B83">
                        <wp:extent cx="114300" cy="381000"/>
                        <wp:effectExtent l="0" t="0" r="0" b="0"/>
                        <wp:docPr id="25" name="Image 25" descr="http://www.editions-tissot.fr/Images/imagesv2/css_guide/commentaires/commentair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editions-tissot.fr/Images/imagesv2/css_guide/commentaires/commentaires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38100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color w:val="FF0000"/>
                      <w:sz w:val="24"/>
                      <w:szCs w:val="24"/>
                      <w:lang w:eastAsia="fr-FR"/>
                    </w:rPr>
                    <w:t xml:space="preserve">Dans l’accord collectif du 24 juin 2010, le contrat ne pouvait être qu’à durée indéterminée. Les dispositions relatives au </w:t>
                  </w:r>
                  <w:hyperlink r:id="rId24" w:history="1">
                    <w:r w:rsidRPr="00937B78">
                      <w:rPr>
                        <w:rFonts w:ascii="Times New Roman" w:eastAsia="Times New Roman" w:hAnsi="Times New Roman" w:cs="Times New Roman"/>
                        <w:color w:val="FF0000"/>
                        <w:sz w:val="18"/>
                        <w:szCs w:val="18"/>
                        <w:u w:val="single"/>
                        <w:lang w:eastAsia="fr-FR"/>
                      </w:rPr>
                      <w:t>CDD</w:t>
                    </w:r>
                  </w:hyperlink>
                  <w:r w:rsidRPr="00937B78">
                    <w:rPr>
                      <w:rFonts w:ascii="Times New Roman" w:eastAsia="Times New Roman" w:hAnsi="Times New Roman" w:cs="Times New Roman"/>
                      <w:color w:val="FF0000"/>
                      <w:sz w:val="24"/>
                      <w:szCs w:val="24"/>
                      <w:lang w:eastAsia="fr-FR"/>
                    </w:rPr>
                    <w:t xml:space="preserve"> avaient été exclues de l’extension. Il est donc aujourd’hui possible d’embaucher un salarié porté en CDD.</w:t>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7910D7F7" wp14:editId="507AAD51">
                        <wp:extent cx="82550" cy="323850"/>
                        <wp:effectExtent l="0" t="0" r="0" b="0"/>
                        <wp:docPr id="26" name="Image 26" descr="http://www.editions-tissot.fr/Images/imagesv2/css_guide/commentaires/commentaire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editions-tissot.fr/Images/imagesv2/css_guide/commentaires/commentaires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 cy="3238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63A26E1" wp14:editId="203113AF">
                        <wp:extent cx="114300" cy="158750"/>
                        <wp:effectExtent l="0" t="0" r="0" b="0"/>
                        <wp:docPr id="27" name="Image 27" descr="http://www.editions-tissot.fr/Images/imagesv2/css_guide/commentaires/commentaire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editions-tissot.fr/Images/imagesv2/css_guide/commentaires/commentairesb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4FF251CA" wp14:editId="4711BDD7">
                        <wp:extent cx="552450" cy="158750"/>
                        <wp:effectExtent l="0" t="0" r="0" b="0"/>
                        <wp:docPr id="28" name="Image 28" descr="http://www.editions-tissot.fr/Images/imagesv2/css_guide/commentaires/commentair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editions-tissot.fr/Images/imagesv2/css_guide/commentaires/commentaires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5875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E389A3C" wp14:editId="557DD4E6">
                        <wp:extent cx="82550" cy="158750"/>
                        <wp:effectExtent l="0" t="0" r="0" b="0"/>
                        <wp:docPr id="29" name="Image 29" descr="http://www.editions-tissot.fr/Images/imagesv2/css_guide/commentaires/commentaires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editions-tissot.fr/Images/imagesv2/css_guide/commentaires/commentairesb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p>
              </w:tc>
            </w:tr>
          </w:tbl>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b/>
                <w:sz w:val="24"/>
                <w:szCs w:val="24"/>
                <w:lang w:eastAsia="fr-FR"/>
              </w:rPr>
              <w:t>Le contrat à durée déterminée</w:t>
            </w:r>
            <w:r w:rsidRPr="00937B78">
              <w:rPr>
                <w:rFonts w:ascii="Times New Roman" w:eastAsia="Times New Roman" w:hAnsi="Times New Roman" w:cs="Times New Roman"/>
                <w:sz w:val="24"/>
                <w:szCs w:val="24"/>
                <w:lang w:eastAsia="fr-FR"/>
              </w:rPr>
              <w:t xml:space="preserve"> [lien 8] signé avec l’entreprise de portage est conclu pour la réalisation </w:t>
            </w:r>
            <w:r w:rsidRPr="00937B78">
              <w:rPr>
                <w:rFonts w:ascii="Times New Roman" w:eastAsia="Times New Roman" w:hAnsi="Times New Roman" w:cs="Times New Roman"/>
                <w:b/>
                <w:sz w:val="24"/>
                <w:szCs w:val="24"/>
                <w:lang w:eastAsia="fr-FR"/>
              </w:rPr>
              <w:t>d’une prestation</w:t>
            </w:r>
            <w:r w:rsidRPr="00937B78">
              <w:rPr>
                <w:rFonts w:ascii="Times New Roman" w:eastAsia="Times New Roman" w:hAnsi="Times New Roman" w:cs="Times New Roman"/>
                <w:sz w:val="24"/>
                <w:szCs w:val="24"/>
                <w:lang w:eastAsia="fr-FR"/>
              </w:rPr>
              <w:t xml:space="preserve"> </w:t>
            </w:r>
            <w:r w:rsidRPr="00937B78">
              <w:rPr>
                <w:rFonts w:ascii="Times New Roman" w:eastAsia="Times New Roman" w:hAnsi="Times New Roman" w:cs="Times New Roman"/>
                <w:b/>
                <w:sz w:val="24"/>
                <w:szCs w:val="24"/>
                <w:lang w:eastAsia="fr-FR"/>
              </w:rPr>
              <w:t>dans une entreprise cliente</w:t>
            </w:r>
            <w:r w:rsidRPr="00937B78">
              <w:rPr>
                <w:rFonts w:ascii="Times New Roman" w:eastAsia="Times New Roman" w:hAnsi="Times New Roman" w:cs="Times New Roman"/>
                <w:sz w:val="24"/>
                <w:szCs w:val="24"/>
                <w:lang w:eastAsia="fr-FR"/>
              </w:rPr>
              <w:t>. Le contrat de travail à durée indéterminée [lien 9] est conclu pour la réalisation de prestations dans une ou plusieurs entreprises clientes</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 CDD comporte un terme précis. Si cela n’est pas possible, il peut être conclu avec un terme imprécis, c’est-à-dire la réalisation de l’objet pour lequel il a été conclu. Dans ce cas, il doit être conclu pour une durée minimale. Le CDD doit être transmis dans les 2 jours de sa conclusion.</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La durée totale du CDD ne peut pas excéder</w:t>
            </w:r>
            <w:r w:rsidRPr="00937B78">
              <w:rPr>
                <w:rFonts w:ascii="Times New Roman" w:eastAsia="Times New Roman" w:hAnsi="Times New Roman" w:cs="Times New Roman"/>
                <w:b/>
                <w:sz w:val="24"/>
                <w:szCs w:val="24"/>
                <w:lang w:eastAsia="fr-FR"/>
              </w:rPr>
              <w:t xml:space="preserve"> 18 mois, renouvellement inclus</w:t>
            </w:r>
            <w:r w:rsidRPr="00937B78">
              <w:rPr>
                <w:rFonts w:ascii="Times New Roman" w:eastAsia="Times New Roman" w:hAnsi="Times New Roman" w:cs="Times New Roman"/>
                <w:sz w:val="24"/>
                <w:szCs w:val="24"/>
                <w:lang w:eastAsia="fr-FR"/>
              </w:rPr>
              <w:t>. Il ne peut être renouvelé qu’une fois. Toutefois, pour permettre au salarié porté de prospecter de nouveaux clients, le terme du contrat peut être reporté par accord entre le salarié et l’entreprise de portage pour une durée de 3 mois.</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b/>
                <w:bCs/>
                <w:color w:val="4A362A"/>
                <w:sz w:val="21"/>
                <w:szCs w:val="21"/>
                <w:lang w:eastAsia="fr-FR"/>
              </w:rPr>
            </w:pPr>
            <w:r w:rsidRPr="00937B78">
              <w:rPr>
                <w:rFonts w:ascii="Times New Roman" w:eastAsia="Times New Roman" w:hAnsi="Times New Roman" w:cs="Times New Roman"/>
                <w:b/>
                <w:bCs/>
                <w:color w:val="4A362A"/>
                <w:sz w:val="21"/>
                <w:szCs w:val="21"/>
                <w:lang w:eastAsia="fr-FR"/>
              </w:rPr>
              <w:t>Portage salarial : l’entreprise de portage</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L'activité de portage salarial ne peut être exercée qu'après déclaration faite à l'autorité administrative et obtention de la garantie financière qui permet d’assurer, en cas de défaillance de l’entreprise de portage, le paiement des salaires, cotisations obligatoires, etc.</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L'entreprise de portage salarial exerce à titre exclusif l'activité de portage salarial. Seules les entreprises de portage peuvent conclure des contrats de travail de portage.</w:t>
            </w:r>
          </w:p>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L'entreprise de portage salarial conclut avec l'entreprise cliente du salarié porté un contrat commercial de prestation de portage salarial au plus tard dans les 2 jours ouvrables suivant le début de la prestation. Une copie de ce contrat est transmise au salarié. Ce contrat contient les éléments essentiels de la négociation de la prestation, éléments qui sont fournis par le salarié porté.</w:t>
            </w:r>
          </w:p>
          <w:tbl>
            <w:tblPr>
              <w:tblW w:w="7500" w:type="dxa"/>
              <w:tblCellSpacing w:w="0" w:type="dxa"/>
              <w:tblLayout w:type="fixed"/>
              <w:tblCellMar>
                <w:left w:w="0" w:type="dxa"/>
                <w:right w:w="0" w:type="dxa"/>
              </w:tblCellMar>
              <w:tblLook w:val="04A0" w:firstRow="1" w:lastRow="0" w:firstColumn="1" w:lastColumn="0" w:noHBand="0" w:noVBand="1"/>
            </w:tblPr>
            <w:tblGrid>
              <w:gridCol w:w="180"/>
              <w:gridCol w:w="7190"/>
              <w:gridCol w:w="130"/>
            </w:tblGrid>
            <w:tr w:rsidR="00937B78" w:rsidRPr="00937B78" w:rsidTr="00937B78">
              <w:trPr>
                <w:trHeight w:val="130"/>
                <w:tblCellSpacing w:w="0" w:type="dxa"/>
              </w:trPr>
              <w:tc>
                <w:tcPr>
                  <w:tcW w:w="12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7C81C031" wp14:editId="315647D9">
                        <wp:extent cx="114300" cy="120650"/>
                        <wp:effectExtent l="0" t="0" r="0" b="0"/>
                        <wp:docPr id="30" name="Image 30" descr="http://www.editions-tissot.fr/Images/imagesv2/css_guide/commentaires/commentairesh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editions-tissot.fr/Images/imagesv2/css_guide/commentaires/commentairesh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6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8B7142F" wp14:editId="0B14675E">
                        <wp:extent cx="6350" cy="6350"/>
                        <wp:effectExtent l="0" t="0" r="0" b="0"/>
                        <wp:docPr id="31" name="Image 31" descr="http://www.editions-tissot.fr/Images/imagesv2/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editions-tissot.fr/Images/imagesv2/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428E16A2" wp14:editId="2BB7E63E">
                        <wp:extent cx="82550" cy="120650"/>
                        <wp:effectExtent l="0" t="0" r="0" b="0"/>
                        <wp:docPr id="32" name="Image 32" descr="http://www.editions-tissot.fr/Images/imagesv2/css_guide/commentaires/commentairesh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editions-tissot.fr/Images/imagesv2/css_guide/commentaires/commentaireshd.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0" cy="1206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60070A3C" wp14:editId="44C2BF12">
                        <wp:extent cx="1028700" cy="190500"/>
                        <wp:effectExtent l="0" t="0" r="0" b="0"/>
                        <wp:docPr id="33" name="Image 33" descr="http://www.editions-tissot.fr/Images/imagesv2/css_guide/commentaires/commentaires_notez-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editions-tissot.fr/Images/imagesv2/css_guide/commentaires/commentaires_notez-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9050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w:t>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09208148" wp14:editId="3D48BF46">
                        <wp:extent cx="114300" cy="381000"/>
                        <wp:effectExtent l="0" t="0" r="0" b="0"/>
                        <wp:docPr id="34" name="Image 34" descr="http://www.editions-tissot.fr/Images/imagesv2/css_guide/commentaires/commentaires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editions-tissot.fr/Images/imagesv2/css_guide/commentaires/commentairesg.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38100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sz w:val="24"/>
                      <w:szCs w:val="24"/>
                      <w:lang w:eastAsia="fr-FR"/>
                    </w:rPr>
                    <w:t xml:space="preserve">Un dispositif de sanctions civiles et pénales sera prochainement publié. Les partenaires sociaux du secteur du portage salarial ont fait également </w:t>
                  </w:r>
                  <w:proofErr w:type="gramStart"/>
                  <w:r w:rsidRPr="00937B78">
                    <w:rPr>
                      <w:rFonts w:ascii="Times New Roman" w:eastAsia="Times New Roman" w:hAnsi="Times New Roman" w:cs="Times New Roman"/>
                      <w:sz w:val="24"/>
                      <w:szCs w:val="24"/>
                      <w:lang w:eastAsia="fr-FR"/>
                    </w:rPr>
                    <w:t>fait</w:t>
                  </w:r>
                  <w:proofErr w:type="gramEnd"/>
                  <w:r w:rsidRPr="00937B78">
                    <w:rPr>
                      <w:rFonts w:ascii="Times New Roman" w:eastAsia="Times New Roman" w:hAnsi="Times New Roman" w:cs="Times New Roman"/>
                      <w:sz w:val="24"/>
                      <w:szCs w:val="24"/>
                      <w:lang w:eastAsia="fr-FR"/>
                    </w:rPr>
                    <w:t xml:space="preserve"> part de leur souhait de s’engager dans la négociation d’une </w:t>
                  </w:r>
                  <w:r w:rsidRPr="00937B78">
                    <w:rPr>
                      <w:rFonts w:ascii="Times New Roman" w:eastAsia="Times New Roman" w:hAnsi="Times New Roman" w:cs="Times New Roman"/>
                      <w:b/>
                      <w:sz w:val="24"/>
                      <w:szCs w:val="24"/>
                      <w:lang w:eastAsia="fr-FR"/>
                    </w:rPr>
                    <w:t>convention collective qui viendra compléter ce dispositif légal.</w:t>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3F0C66B2" wp14:editId="16CEBA57">
                        <wp:extent cx="82550" cy="323850"/>
                        <wp:effectExtent l="0" t="0" r="0" b="0"/>
                        <wp:docPr id="35" name="Image 35" descr="http://www.editions-tissot.fr/Images/imagesv2/css_guide/commentaires/commentaires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editions-tissot.fr/Images/imagesv2/css_guide/commentaires/commentaires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 cy="323850"/>
                                </a:xfrm>
                                <a:prstGeom prst="rect">
                                  <a:avLst/>
                                </a:prstGeom>
                                <a:noFill/>
                                <a:ln>
                                  <a:noFill/>
                                </a:ln>
                              </pic:spPr>
                            </pic:pic>
                          </a:graphicData>
                        </a:graphic>
                      </wp:inline>
                    </w:drawing>
                  </w:r>
                </w:p>
              </w:tc>
            </w:tr>
            <w:tr w:rsidR="00937B78" w:rsidRPr="00937B78" w:rsidTr="00937B78">
              <w:trPr>
                <w:tblCellSpacing w:w="0" w:type="dxa"/>
              </w:trPr>
              <w:tc>
                <w:tcPr>
                  <w:tcW w:w="18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59CC95B3" wp14:editId="234BF5BF">
                        <wp:extent cx="114300" cy="158750"/>
                        <wp:effectExtent l="0" t="0" r="0" b="0"/>
                        <wp:docPr id="36" name="Image 36" descr="http://www.editions-tissot.fr/Images/imagesv2/css_guide/commentaires/commentaires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editions-tissot.fr/Images/imagesv2/css_guide/commentaires/commentairesb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c>
                <w:tcPr>
                  <w:tcW w:w="719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897E878" wp14:editId="1D360AE3">
                        <wp:extent cx="552450" cy="158750"/>
                        <wp:effectExtent l="0" t="0" r="0" b="0"/>
                        <wp:docPr id="37" name="Image 37" descr="http://www.editions-tissot.fr/Images/imagesv2/css_guide/commentaires/commentair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editions-tissot.fr/Images/imagesv2/css_guide/commentaires/commentairesb.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158750"/>
                                </a:xfrm>
                                <a:prstGeom prst="rect">
                                  <a:avLst/>
                                </a:prstGeom>
                                <a:noFill/>
                                <a:ln>
                                  <a:noFill/>
                                </a:ln>
                              </pic:spPr>
                            </pic:pic>
                          </a:graphicData>
                        </a:graphic>
                      </wp:inline>
                    </w:drawing>
                  </w:r>
                </w:p>
              </w:tc>
              <w:tc>
                <w:tcPr>
                  <w:tcW w:w="130" w:type="dxa"/>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noProof/>
                      <w:sz w:val="24"/>
                      <w:szCs w:val="24"/>
                      <w:lang w:eastAsia="fr-FR"/>
                    </w:rPr>
                    <w:drawing>
                      <wp:inline distT="0" distB="0" distL="0" distR="0" wp14:anchorId="16BE016A" wp14:editId="330116AD">
                        <wp:extent cx="82550" cy="158750"/>
                        <wp:effectExtent l="0" t="0" r="0" b="0"/>
                        <wp:docPr id="38" name="Image 38" descr="http://www.editions-tissot.fr/Images/imagesv2/css_guide/commentaires/commentaires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editions-tissot.fr/Images/imagesv2/css_guide/commentaires/commentairesb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 cy="158750"/>
                                </a:xfrm>
                                <a:prstGeom prst="rect">
                                  <a:avLst/>
                                </a:prstGeom>
                                <a:noFill/>
                                <a:ln>
                                  <a:noFill/>
                                </a:ln>
                              </pic:spPr>
                            </pic:pic>
                          </a:graphicData>
                        </a:graphic>
                      </wp:inline>
                    </w:drawing>
                  </w:r>
                </w:p>
              </w:tc>
            </w:tr>
          </w:tbl>
          <w:p w:rsidR="00937B78" w:rsidRPr="00937B78" w:rsidRDefault="00937B78" w:rsidP="00937B7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37B78">
              <w:rPr>
                <w:rFonts w:ascii="Times New Roman" w:eastAsia="Times New Roman" w:hAnsi="Times New Roman" w:cs="Times New Roman"/>
                <w:i/>
                <w:iCs/>
                <w:sz w:val="24"/>
                <w:szCs w:val="24"/>
                <w:lang w:eastAsia="fr-FR"/>
              </w:rPr>
              <w:br/>
            </w:r>
          </w:p>
        </w:tc>
        <w:tc>
          <w:tcPr>
            <w:tcW w:w="11" w:type="pct"/>
            <w:vMerge/>
            <w:vAlign w:val="center"/>
            <w:hideMark/>
          </w:tcPr>
          <w:p w:rsidR="00937B78" w:rsidRPr="00937B78" w:rsidRDefault="00937B78" w:rsidP="00937B78">
            <w:pPr>
              <w:spacing w:after="0" w:line="240" w:lineRule="auto"/>
              <w:jc w:val="both"/>
              <w:rPr>
                <w:rFonts w:ascii="Times New Roman" w:eastAsia="Times New Roman" w:hAnsi="Times New Roman" w:cs="Times New Roman"/>
                <w:sz w:val="24"/>
                <w:szCs w:val="24"/>
                <w:lang w:eastAsia="fr-FR"/>
              </w:rPr>
            </w:pPr>
          </w:p>
        </w:tc>
      </w:tr>
    </w:tbl>
    <w:p w:rsidR="003A18F9" w:rsidRPr="00937B78" w:rsidRDefault="003A18F9" w:rsidP="00937B78">
      <w:pPr>
        <w:jc w:val="both"/>
        <w:rPr>
          <w:rFonts w:ascii="Times New Roman" w:hAnsi="Times New Roman" w:cs="Times New Roman"/>
        </w:rPr>
      </w:pPr>
    </w:p>
    <w:sectPr w:rsidR="003A18F9" w:rsidRPr="00937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abstractNum w:abstractNumId="0">
    <w:nsid w:val="01D619EF"/>
    <w:multiLevelType w:val="multilevel"/>
    <w:tmpl w:val="54F2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C7235"/>
    <w:multiLevelType w:val="multilevel"/>
    <w:tmpl w:val="44A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133A15"/>
    <w:multiLevelType w:val="multilevel"/>
    <w:tmpl w:val="D4B8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85741E"/>
    <w:multiLevelType w:val="multilevel"/>
    <w:tmpl w:val="E2C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78"/>
    <w:rsid w:val="003A18F9"/>
    <w:rsid w:val="00875310"/>
    <w:rsid w:val="00937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82CC5-14F3-41B2-B8C5-1165460D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3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7B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89897">
      <w:bodyDiv w:val="1"/>
      <w:marLeft w:val="0"/>
      <w:marRight w:val="0"/>
      <w:marTop w:val="0"/>
      <w:marBottom w:val="0"/>
      <w:divBdr>
        <w:top w:val="none" w:sz="0" w:space="0" w:color="auto"/>
        <w:left w:val="none" w:sz="0" w:space="0" w:color="auto"/>
        <w:bottom w:val="none" w:sz="0" w:space="0" w:color="auto"/>
        <w:right w:val="none" w:sz="0" w:space="0" w:color="auto"/>
      </w:divBdr>
      <w:divsChild>
        <w:div w:id="556817387">
          <w:marLeft w:val="0"/>
          <w:marRight w:val="0"/>
          <w:marTop w:val="0"/>
          <w:marBottom w:val="0"/>
          <w:divBdr>
            <w:top w:val="none" w:sz="0" w:space="0" w:color="auto"/>
            <w:left w:val="none" w:sz="0" w:space="0" w:color="auto"/>
            <w:bottom w:val="none" w:sz="0" w:space="0" w:color="auto"/>
            <w:right w:val="none" w:sz="0" w:space="0" w:color="auto"/>
          </w:divBdr>
          <w:divsChild>
            <w:div w:id="630862731">
              <w:marLeft w:val="75"/>
              <w:marRight w:val="0"/>
              <w:marTop w:val="0"/>
              <w:marBottom w:val="0"/>
              <w:divBdr>
                <w:top w:val="none" w:sz="0" w:space="0" w:color="auto"/>
                <w:left w:val="none" w:sz="0" w:space="0" w:color="auto"/>
                <w:bottom w:val="none" w:sz="0" w:space="0" w:color="auto"/>
                <w:right w:val="none" w:sz="0" w:space="0" w:color="auto"/>
              </w:divBdr>
            </w:div>
            <w:div w:id="883178020">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ditions-tissot.fr/code-du-travail/article.aspx?idSGML=53a89257-7745-4001-972a-324b82b34af3&amp;codeCategory=PME&amp;chapitre=MCP4L1T5&amp;pageNumber=5&amp;codeSpace=MCG&amp;section=MCAL.4154-2&amp;source=gratuit&amp;op=1" TargetMode="External"/><Relationship Id="rId7" Type="http://schemas.openxmlformats.org/officeDocument/2006/relationships/image" Target="media/image1.jpeg"/><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hyperlink" Target="http://www.editions-tissot.fr/actualite/droit-du-travail.aspx?actualite=Contrat+de+travail&amp;secteur=PME&amp;mode=theme&amp;idtheme=2" TargetMode="External"/><Relationship Id="rId1" Type="http://schemas.openxmlformats.org/officeDocument/2006/relationships/numbering" Target="numbering.xml"/><Relationship Id="rId6" Type="http://schemas.openxmlformats.org/officeDocument/2006/relationships/hyperlink" Target="http://server1.affiz.net/tracking/ads_stats1-323338365f333634335f3132353038U2314410530__d31c5d8d3a__73357__2-0-6cf56277352bc7da0f83e665a27a6f40/http:/www2.editions-tissot.fr/produit/tissot-social-entreprise/?cact=displayarticleactu" TargetMode="External"/><Relationship Id="rId11" Type="http://schemas.openxmlformats.org/officeDocument/2006/relationships/image" Target="media/image3.gif"/><Relationship Id="rId24" Type="http://schemas.openxmlformats.org/officeDocument/2006/relationships/hyperlink" Target="http://www.editions-tissot.fr/actualite/droit-du-travail.aspx?actualite=CDD&amp;secteur=PME&amp;mode=mot&amp;idmot=18" TargetMode="External"/><Relationship Id="rId5" Type="http://schemas.openxmlformats.org/officeDocument/2006/relationships/hyperlink" Target="http://www.editions-tissot.fr/actualite/droit-du-travail.aspx?actualite=Contrat+de+travail&amp;secteur=PME&amp;mode=theme&amp;idtheme=2" TargetMode="External"/><Relationship Id="rId15" Type="http://schemas.openxmlformats.org/officeDocument/2006/relationships/image" Target="media/image7.gif"/><Relationship Id="rId23" Type="http://schemas.openxmlformats.org/officeDocument/2006/relationships/hyperlink" Target="http://www.editions-tissot.fr/actualite/droit-du-travail.aspx?actualite=Plafond+de+la+S%c3%a9curit%c3%a9+sociale&amp;secteur=PME&amp;mode=mot&amp;idmot=37" TargetMode="External"/><Relationship Id="rId10" Type="http://schemas.openxmlformats.org/officeDocument/2006/relationships/hyperlink" Target="http://www.editions-tissot.fr/code-du-travail/article.aspx?idSGML=53a89257-7745-4001-972a-324b82b34af3&amp;codeCategory=PME&amp;codeSpace=MCG&amp;source=gratuit&amp;op=1&amp;chapitre=MCP1L2T5&amp;pageNumber=2&amp;detail=y&amp;section=MCAL.1251-64" TargetMode="External"/><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hyperlink" Target="http://www.editions-tissot.fr/code-du-travail/code-du-travail-gratuit.aspx?1=1&amp;codeCategory=PME&amp;codeSpace=MCG" TargetMode="External"/><Relationship Id="rId14" Type="http://schemas.openxmlformats.org/officeDocument/2006/relationships/image" Target="media/image6.gif"/><Relationship Id="rId22" Type="http://schemas.openxmlformats.org/officeDocument/2006/relationships/hyperlink" Target="http://www.editions-tissot.fr/actualite/droit-du-travail.aspx?actualite=R%c3%a9mun%c3%a9ration&amp;secteur=PME&amp;mode=theme&amp;idtheme=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6808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2</cp:revision>
  <dcterms:created xsi:type="dcterms:W3CDTF">2015-05-06T13:05:00Z</dcterms:created>
  <dcterms:modified xsi:type="dcterms:W3CDTF">2015-05-06T13:05:00Z</dcterms:modified>
</cp:coreProperties>
</file>