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5EF" w:rsidRPr="000D35EF" w:rsidRDefault="000D35EF" w:rsidP="000D35EF">
      <w:pPr>
        <w:pStyle w:val="Citationintense"/>
        <w:rPr>
          <w:rFonts w:ascii="Trebuchet MS" w:hAnsi="Trebuchet MS"/>
        </w:rPr>
      </w:pPr>
      <w:bookmarkStart w:id="0" w:name="_GoBack"/>
      <w:bookmarkEnd w:id="0"/>
      <w:r w:rsidRPr="000D35EF">
        <w:rPr>
          <w:rFonts w:ascii="Trebuchet MS" w:hAnsi="Trebuchet MS"/>
        </w:rPr>
        <w:t>DOSSIER</w:t>
      </w:r>
      <w:r w:rsidRPr="000D35EF">
        <w:rPr>
          <w:rFonts w:ascii="Trebuchet MS" w:hAnsi="Trebuchet MS"/>
        </w:rPr>
        <w:t xml:space="preserve"> Les champs de la qualité de vie au travail</w:t>
      </w:r>
    </w:p>
    <w:p w:rsidR="000D35EF" w:rsidRPr="000D35EF" w:rsidRDefault="000D35EF" w:rsidP="000D35EF">
      <w:pPr>
        <w:spacing w:after="0"/>
        <w:jc w:val="both"/>
        <w:rPr>
          <w:rFonts w:ascii="Trebuchet MS" w:hAnsi="Trebuchet MS"/>
        </w:rPr>
      </w:pPr>
      <w:r w:rsidRPr="000D35EF">
        <w:rPr>
          <w:rFonts w:ascii="Trebuchet MS" w:hAnsi="Trebuchet MS"/>
        </w:rPr>
        <w:t>CONDUIRE UNE DÉMARCHE QUALITÉ DE VIE AU TRAVAIL : UN ANI POUR INNOVER</w:t>
      </w:r>
    </w:p>
    <w:p w:rsidR="000D35EF" w:rsidRPr="000D35EF" w:rsidRDefault="000D35EF" w:rsidP="000D35EF">
      <w:pPr>
        <w:spacing w:after="0"/>
        <w:jc w:val="both"/>
        <w:rPr>
          <w:rFonts w:ascii="Trebuchet MS" w:hAnsi="Trebuchet MS"/>
        </w:rPr>
      </w:pPr>
      <w:r w:rsidRPr="000D35EF">
        <w:rPr>
          <w:rFonts w:ascii="Trebuchet MS" w:hAnsi="Trebuchet MS"/>
        </w:rPr>
        <w:t>Conduire une démarche qualité de vie a</w:t>
      </w:r>
      <w:r w:rsidRPr="000D35EF">
        <w:rPr>
          <w:rFonts w:ascii="Trebuchet MS" w:hAnsi="Trebuchet MS"/>
        </w:rPr>
        <w:t xml:space="preserve">u travail : un ANI pour innover </w:t>
      </w:r>
      <w:r w:rsidRPr="000D35EF">
        <w:rPr>
          <w:rFonts w:ascii="Trebuchet MS" w:hAnsi="Trebuchet MS"/>
        </w:rPr>
        <w:t>Publié le 17/03/14 par A</w:t>
      </w:r>
      <w:r w:rsidRPr="000D35EF">
        <w:rPr>
          <w:rFonts w:ascii="Trebuchet MS" w:hAnsi="Trebuchet MS"/>
        </w:rPr>
        <w:t xml:space="preserve">NACT </w:t>
      </w:r>
    </w:p>
    <w:p w:rsidR="000D35EF" w:rsidRPr="000D35EF" w:rsidRDefault="000D35EF" w:rsidP="000D35EF">
      <w:pPr>
        <w:spacing w:after="0"/>
        <w:jc w:val="both"/>
        <w:rPr>
          <w:rFonts w:ascii="Trebuchet MS" w:hAnsi="Trebuchet MS"/>
        </w:rPr>
      </w:pPr>
      <w:hyperlink r:id="rId5" w:history="1">
        <w:r w:rsidRPr="000D35EF">
          <w:rPr>
            <w:rStyle w:val="Lienhypertexte"/>
            <w:rFonts w:ascii="Trebuchet MS" w:hAnsi="Trebuchet MS"/>
          </w:rPr>
          <w:t>http://www.anact.fr/web/dossiers/performance-durable/qvt?p_thingIdToShow=35617764</w:t>
        </w:r>
      </w:hyperlink>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Le sujet « qualité de vie au travail » (QVT) s'est imposé dans le débat social et suscite aujourd'hui de nombreuses attentes. Mais de quoi parle-t-on au juste ? La banalité du terme peut laisser croire à l'évidence du sujet pour tous, à l'existence d'un consensus sur son sens. Plusieurs approches sont pourtant possibles. Tour d'horizon de l'existant.</w:t>
      </w:r>
    </w:p>
    <w:p w:rsidR="000D35EF" w:rsidRPr="000D35EF" w:rsidRDefault="000D35EF" w:rsidP="000D35EF">
      <w:pPr>
        <w:spacing w:after="0"/>
        <w:jc w:val="both"/>
        <w:rPr>
          <w:rFonts w:ascii="Trebuchet MS" w:hAnsi="Trebuchet MS"/>
        </w:rPr>
      </w:pPr>
      <w:r w:rsidRPr="000D35EF">
        <w:rPr>
          <w:rFonts w:ascii="Trebuchet MS" w:hAnsi="Trebuchet MS"/>
        </w:rPr>
        <w:t>Les définitions de la qualité de vie au travail (QVT) se limitent généralement à esquisser un « champ », c’est-à-dire un ensemble d’éléments supposés relever de la qualité de vie au travail. Le plus souvent, ces définitions sont des « listes » où l'on peut retrouver des éléments de natures très diverses.</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On peut cependant dégager des champs différents selon que l’accent est mis sur les effets, les déterminants, les moyens ou la démarche.</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b/>
        </w:rPr>
      </w:pPr>
      <w:r w:rsidRPr="000D35EF">
        <w:rPr>
          <w:rFonts w:ascii="Trebuchet MS" w:hAnsi="Trebuchet MS"/>
          <w:b/>
        </w:rPr>
        <w:t>1. Le champ des effets</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Aux origines du concept, on place plutôt l’accent sur les conséquences individuelles (satisfaction, bien-être psychologique) de l’expérience de travail. Avec l’idée que ces conséquences ont elles-mêmes des effets sur les comportements au travail et l’efficacité productive. Les effets de la QVT sont ainsi déclinés selon quatre dimensions :</w:t>
      </w:r>
    </w:p>
    <w:p w:rsidR="000D35EF" w:rsidRPr="000D35EF" w:rsidRDefault="000D35EF" w:rsidP="000D35EF">
      <w:pPr>
        <w:spacing w:after="0"/>
        <w:jc w:val="both"/>
        <w:rPr>
          <w:rFonts w:ascii="Trebuchet MS" w:hAnsi="Trebuchet MS"/>
        </w:rPr>
      </w:pPr>
    </w:p>
    <w:p w:rsidR="000D35EF" w:rsidRPr="000D35EF" w:rsidRDefault="000D35EF" w:rsidP="000D35EF">
      <w:pPr>
        <w:pStyle w:val="Paragraphedeliste"/>
        <w:numPr>
          <w:ilvl w:val="0"/>
          <w:numId w:val="1"/>
        </w:numPr>
        <w:spacing w:after="0"/>
        <w:jc w:val="both"/>
        <w:rPr>
          <w:rFonts w:ascii="Trebuchet MS" w:hAnsi="Trebuchet MS"/>
        </w:rPr>
      </w:pPr>
      <w:r w:rsidRPr="000D35EF">
        <w:rPr>
          <w:rFonts w:ascii="Trebuchet MS" w:hAnsi="Trebuchet MS"/>
        </w:rPr>
        <w:t>psychologiques (motivation, satisfaction au travail…)</w:t>
      </w:r>
    </w:p>
    <w:p w:rsidR="000D35EF" w:rsidRPr="000D35EF" w:rsidRDefault="000D35EF" w:rsidP="000D35EF">
      <w:pPr>
        <w:pStyle w:val="Paragraphedeliste"/>
        <w:numPr>
          <w:ilvl w:val="0"/>
          <w:numId w:val="1"/>
        </w:numPr>
        <w:spacing w:after="0"/>
        <w:jc w:val="both"/>
        <w:rPr>
          <w:rFonts w:ascii="Trebuchet MS" w:hAnsi="Trebuchet MS"/>
        </w:rPr>
      </w:pPr>
      <w:r w:rsidRPr="000D35EF">
        <w:rPr>
          <w:rFonts w:ascii="Trebuchet MS" w:hAnsi="Trebuchet MS"/>
        </w:rPr>
        <w:t>santé (bien-être, réduction du stress, préservation de l’intégrité physique…)</w:t>
      </w:r>
    </w:p>
    <w:p w:rsidR="000D35EF" w:rsidRPr="000D35EF" w:rsidRDefault="000D35EF" w:rsidP="000D35EF">
      <w:pPr>
        <w:pStyle w:val="Paragraphedeliste"/>
        <w:numPr>
          <w:ilvl w:val="0"/>
          <w:numId w:val="1"/>
        </w:numPr>
        <w:spacing w:after="0"/>
        <w:jc w:val="both"/>
        <w:rPr>
          <w:rFonts w:ascii="Trebuchet MS" w:hAnsi="Trebuchet MS"/>
        </w:rPr>
      </w:pPr>
      <w:r w:rsidRPr="000D35EF">
        <w:rPr>
          <w:rFonts w:ascii="Trebuchet MS" w:hAnsi="Trebuchet MS"/>
        </w:rPr>
        <w:t>économiques (performance, productivité, innovation…)</w:t>
      </w:r>
    </w:p>
    <w:p w:rsidR="000D35EF" w:rsidRPr="000D35EF" w:rsidRDefault="000D35EF" w:rsidP="000D35EF">
      <w:pPr>
        <w:pStyle w:val="Paragraphedeliste"/>
        <w:numPr>
          <w:ilvl w:val="0"/>
          <w:numId w:val="1"/>
        </w:numPr>
        <w:spacing w:after="0"/>
        <w:jc w:val="both"/>
        <w:rPr>
          <w:rFonts w:ascii="Trebuchet MS" w:hAnsi="Trebuchet MS"/>
        </w:rPr>
      </w:pPr>
      <w:r w:rsidRPr="000D35EF">
        <w:rPr>
          <w:rFonts w:ascii="Trebuchet MS" w:hAnsi="Trebuchet MS"/>
        </w:rPr>
        <w:t>comportementaux (engagement, implication, créativité…)</w:t>
      </w:r>
    </w:p>
    <w:p w:rsidR="000D35EF" w:rsidRPr="000D35EF" w:rsidRDefault="000D35EF" w:rsidP="000D35EF">
      <w:pPr>
        <w:spacing w:after="0"/>
        <w:jc w:val="both"/>
        <w:rPr>
          <w:rFonts w:ascii="Trebuchet MS" w:hAnsi="Trebuchet MS"/>
        </w:rPr>
      </w:pPr>
      <w:r w:rsidRPr="000D35EF">
        <w:rPr>
          <w:rFonts w:ascii="Trebuchet MS" w:hAnsi="Trebuchet MS"/>
        </w:rPr>
        <w:t xml:space="preserve">2. Le champ des facteurs </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D’autres définitions soulignent plutôt l’importance du travail, des conditions de sa réalisation et de l’environnement organisationnel. L’accent ici est placé sur des déterminants de la qualité de vie au travail tels que :</w:t>
      </w:r>
    </w:p>
    <w:p w:rsidR="000D35EF" w:rsidRPr="000D35EF" w:rsidRDefault="000D35EF" w:rsidP="000D35EF">
      <w:pPr>
        <w:spacing w:after="0"/>
        <w:jc w:val="both"/>
        <w:rPr>
          <w:rFonts w:ascii="Trebuchet MS" w:hAnsi="Trebuchet MS"/>
        </w:rPr>
      </w:pP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environnement (matériel, outils…)</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opportunités de développement personnel et professionnel</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contenu du travail, autonomie, auto-organisation</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soutien managérial et soutien des collectifs</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qualité du dialogue social</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sécurité d’emploi</w:t>
      </w:r>
    </w:p>
    <w:p w:rsidR="000D35EF" w:rsidRPr="000D35EF" w:rsidRDefault="000D35EF" w:rsidP="000D35EF">
      <w:pPr>
        <w:pStyle w:val="Paragraphedeliste"/>
        <w:numPr>
          <w:ilvl w:val="0"/>
          <w:numId w:val="2"/>
        </w:numPr>
        <w:spacing w:after="0"/>
        <w:jc w:val="both"/>
        <w:rPr>
          <w:rFonts w:ascii="Trebuchet MS" w:hAnsi="Trebuchet MS"/>
        </w:rPr>
      </w:pPr>
      <w:r w:rsidRPr="000D35EF">
        <w:rPr>
          <w:rFonts w:ascii="Trebuchet MS" w:hAnsi="Trebuchet MS"/>
        </w:rPr>
        <w:t>équilibre vie privée/vie professionnelle, etc.</w:t>
      </w:r>
    </w:p>
    <w:p w:rsidR="000D35EF" w:rsidRPr="000D35EF" w:rsidRDefault="000D35EF" w:rsidP="000D35EF">
      <w:pPr>
        <w:spacing w:after="0"/>
        <w:jc w:val="both"/>
        <w:rPr>
          <w:rFonts w:ascii="Trebuchet MS" w:hAnsi="Trebuchet MS"/>
        </w:rPr>
      </w:pPr>
      <w:r w:rsidRPr="000D35EF">
        <w:rPr>
          <w:rFonts w:ascii="Trebuchet MS" w:hAnsi="Trebuchet MS"/>
        </w:rPr>
        <w:t xml:space="preserve">Sur ce registre, les négociateurs de l’accord national interprofessionnel (ANI) ont délimité </w:t>
      </w:r>
      <w:proofErr w:type="gramStart"/>
      <w:r w:rsidRPr="000D35EF">
        <w:rPr>
          <w:rFonts w:ascii="Trebuchet MS" w:hAnsi="Trebuchet MS"/>
        </w:rPr>
        <w:t>un</w:t>
      </w:r>
      <w:proofErr w:type="gramEnd"/>
      <w:r w:rsidRPr="000D35EF">
        <w:rPr>
          <w:rFonts w:ascii="Trebuchet MS" w:hAnsi="Trebuchet MS"/>
        </w:rPr>
        <w:t xml:space="preserve"> champ qui renvoie à une liste de 10 points :</w:t>
      </w:r>
    </w:p>
    <w:p w:rsidR="000D35EF" w:rsidRPr="000D35EF" w:rsidRDefault="000D35EF" w:rsidP="000D35EF">
      <w:pPr>
        <w:spacing w:after="0"/>
        <w:jc w:val="both"/>
        <w:rPr>
          <w:rFonts w:ascii="Trebuchet MS" w:hAnsi="Trebuchet MS"/>
        </w:rPr>
      </w:pP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de l’engagement de tous à tous les niveaux de l’entreprise</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lastRenderedPageBreak/>
        <w:t>La qualité de l’information partagée au sein de l’entreprise</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des relations de travail</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des relations sociales, construites sur un dialogue social actif</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des modalités de mise en œuvre de l’organisation du travail</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du contenu du travail</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qualité de l’environnement physique</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possibilité de réalisation et de développement personnel</w:t>
      </w:r>
    </w:p>
    <w:p w:rsidR="000D35EF" w:rsidRP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La possibilité de concilier vie professionnelle et vie personnelle</w:t>
      </w:r>
    </w:p>
    <w:p w:rsidR="000D35EF" w:rsidRDefault="000D35EF" w:rsidP="000D35EF">
      <w:pPr>
        <w:pStyle w:val="Paragraphedeliste"/>
        <w:numPr>
          <w:ilvl w:val="0"/>
          <w:numId w:val="3"/>
        </w:numPr>
        <w:spacing w:after="0"/>
        <w:jc w:val="both"/>
        <w:rPr>
          <w:rFonts w:ascii="Trebuchet MS" w:hAnsi="Trebuchet MS"/>
        </w:rPr>
      </w:pPr>
      <w:r w:rsidRPr="000D35EF">
        <w:rPr>
          <w:rFonts w:ascii="Trebuchet MS" w:hAnsi="Trebuchet MS"/>
        </w:rPr>
        <w:t>Le respect de l’égalité professionnelle entre hommes et femmes</w:t>
      </w:r>
    </w:p>
    <w:p w:rsidR="000D35EF" w:rsidRPr="000D35EF" w:rsidRDefault="000D35EF" w:rsidP="000D35EF">
      <w:pPr>
        <w:pStyle w:val="Paragraphedeliste"/>
        <w:spacing w:after="0"/>
        <w:jc w:val="both"/>
        <w:rPr>
          <w:rFonts w:ascii="Trebuchet MS" w:hAnsi="Trebuchet MS"/>
        </w:rPr>
      </w:pPr>
    </w:p>
    <w:p w:rsidR="000D35EF" w:rsidRPr="000D35EF" w:rsidRDefault="000D35EF" w:rsidP="000D35EF">
      <w:pPr>
        <w:spacing w:after="0"/>
        <w:jc w:val="both"/>
        <w:rPr>
          <w:rFonts w:ascii="Trebuchet MS" w:hAnsi="Trebuchet MS"/>
          <w:b/>
        </w:rPr>
      </w:pPr>
      <w:r w:rsidRPr="000D35EF">
        <w:rPr>
          <w:rFonts w:ascii="Trebuchet MS" w:hAnsi="Trebuchet MS"/>
          <w:b/>
        </w:rPr>
        <w:t>3. Le champ des leviers</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D’autres définitions, en quelque sorte plus précises ou plus tournées vers l’action, vont plutôt mettre en valeur les leviers socio-organisationnels. L’accent est alors mis sur les moyens d’agir permettant d’atteindre la qualité de vie au travail :</w:t>
      </w:r>
    </w:p>
    <w:p w:rsidR="000D35EF" w:rsidRPr="000D35EF" w:rsidRDefault="000D35EF" w:rsidP="000D35EF">
      <w:pPr>
        <w:spacing w:after="0"/>
        <w:jc w:val="both"/>
        <w:rPr>
          <w:rFonts w:ascii="Trebuchet MS" w:hAnsi="Trebuchet MS"/>
        </w:rPr>
      </w:pP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Enrichissement et élargissement des tâches</w:t>
      </w:r>
    </w:p>
    <w:p w:rsidR="000D35EF" w:rsidRPr="000D35EF" w:rsidRDefault="000D35EF" w:rsidP="000D35EF">
      <w:pPr>
        <w:pStyle w:val="Paragraphedeliste"/>
        <w:numPr>
          <w:ilvl w:val="0"/>
          <w:numId w:val="4"/>
        </w:numPr>
        <w:spacing w:after="0"/>
        <w:jc w:val="both"/>
        <w:rPr>
          <w:rFonts w:ascii="Trebuchet MS" w:hAnsi="Trebuchet MS"/>
        </w:rPr>
      </w:pPr>
      <w:proofErr w:type="spellStart"/>
      <w:r w:rsidRPr="000D35EF">
        <w:rPr>
          <w:rFonts w:ascii="Trebuchet MS" w:hAnsi="Trebuchet MS"/>
        </w:rPr>
        <w:t>Coconception</w:t>
      </w:r>
      <w:proofErr w:type="spellEnd"/>
      <w:r w:rsidRPr="000D35EF">
        <w:rPr>
          <w:rFonts w:ascii="Trebuchet MS" w:hAnsi="Trebuchet MS"/>
        </w:rPr>
        <w:t xml:space="preserve"> du travail</w:t>
      </w: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Refonte du système de rémunération</w:t>
      </w: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Politiques d’intéressement</w:t>
      </w: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Développement de plan de carrière</w:t>
      </w: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Organisation participative</w:t>
      </w:r>
    </w:p>
    <w:p w:rsidR="000D35EF" w:rsidRPr="000D35EF" w:rsidRDefault="000D35EF" w:rsidP="000D35EF">
      <w:pPr>
        <w:pStyle w:val="Paragraphedeliste"/>
        <w:numPr>
          <w:ilvl w:val="0"/>
          <w:numId w:val="4"/>
        </w:numPr>
        <w:spacing w:after="0"/>
        <w:jc w:val="both"/>
        <w:rPr>
          <w:rFonts w:ascii="Trebuchet MS" w:hAnsi="Trebuchet MS"/>
        </w:rPr>
      </w:pPr>
      <w:r w:rsidRPr="000D35EF">
        <w:rPr>
          <w:rFonts w:ascii="Trebuchet MS" w:hAnsi="Trebuchet MS"/>
        </w:rPr>
        <w:t>Conciliation des temps, etc.</w:t>
      </w:r>
    </w:p>
    <w:p w:rsidR="000D35EF" w:rsidRPr="000D35EF" w:rsidRDefault="000D35EF" w:rsidP="000D35EF">
      <w:pPr>
        <w:spacing w:after="0"/>
        <w:jc w:val="both"/>
        <w:rPr>
          <w:rFonts w:ascii="Trebuchet MS" w:hAnsi="Trebuchet MS"/>
        </w:rPr>
      </w:pPr>
      <w:r w:rsidRPr="000D35EF">
        <w:rPr>
          <w:rFonts w:ascii="Trebuchet MS" w:hAnsi="Trebuchet MS"/>
        </w:rPr>
        <w:t xml:space="preserve">Cette conception de la qualité de vie au travail comme leviers est évoquée dans l’ANI : « La qualité de vie au travail désigne et regroupe les dispositions récurrentes abordant notamment les modalités de mises en œuvre de l’organisation du travail permettant de </w:t>
      </w:r>
      <w:proofErr w:type="gramStart"/>
      <w:r w:rsidRPr="000D35EF">
        <w:rPr>
          <w:rFonts w:ascii="Trebuchet MS" w:hAnsi="Trebuchet MS"/>
        </w:rPr>
        <w:t>concilier</w:t>
      </w:r>
      <w:proofErr w:type="gramEnd"/>
      <w:r w:rsidRPr="000D35EF">
        <w:rPr>
          <w:rFonts w:ascii="Trebuchet MS" w:hAnsi="Trebuchet MS"/>
        </w:rPr>
        <w:t xml:space="preserve"> les modalités de l’amélioration des conditions de travail et de vie pour les salariés et la performance collective de l’entreprise. Elle est un des éléments constitutifs d’une responsabilité sociale d’entreprise assumée. »</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4. Le champ des démarches</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La plupart des définitions inscrivent la QVT dans une démarche de type participatif. On peut cependant distinguer trois grands types de démarche :</w:t>
      </w:r>
    </w:p>
    <w:p w:rsidR="000D35EF" w:rsidRPr="000D35EF" w:rsidRDefault="000D35EF" w:rsidP="000D35EF">
      <w:pPr>
        <w:spacing w:after="0"/>
        <w:jc w:val="both"/>
        <w:rPr>
          <w:rFonts w:ascii="Trebuchet MS" w:hAnsi="Trebuchet MS"/>
        </w:rPr>
      </w:pPr>
    </w:p>
    <w:p w:rsidR="000D35EF" w:rsidRPr="000D35EF" w:rsidRDefault="000D35EF" w:rsidP="000D35EF">
      <w:pPr>
        <w:spacing w:after="0"/>
        <w:jc w:val="both"/>
        <w:rPr>
          <w:rFonts w:ascii="Trebuchet MS" w:hAnsi="Trebuchet MS"/>
        </w:rPr>
      </w:pPr>
      <w:r w:rsidRPr="000D35EF">
        <w:rPr>
          <w:rFonts w:ascii="Trebuchet MS" w:hAnsi="Trebuchet MS"/>
        </w:rPr>
        <w:t>Changement concerté (France)</w:t>
      </w:r>
    </w:p>
    <w:p w:rsidR="000D35EF" w:rsidRPr="000D35EF" w:rsidRDefault="000D35EF" w:rsidP="000D35EF">
      <w:pPr>
        <w:spacing w:after="0"/>
        <w:jc w:val="both"/>
        <w:rPr>
          <w:rFonts w:ascii="Trebuchet MS" w:hAnsi="Trebuchet MS"/>
        </w:rPr>
      </w:pPr>
      <w:r w:rsidRPr="000D35EF">
        <w:rPr>
          <w:rFonts w:ascii="Trebuchet MS" w:hAnsi="Trebuchet MS"/>
        </w:rPr>
        <w:t>Développement organisationnel (Amérique du nord)</w:t>
      </w:r>
    </w:p>
    <w:p w:rsidR="000D35EF" w:rsidRPr="000D35EF" w:rsidRDefault="000D35EF" w:rsidP="000D35EF">
      <w:pPr>
        <w:spacing w:after="0"/>
        <w:jc w:val="both"/>
        <w:rPr>
          <w:rFonts w:ascii="Trebuchet MS" w:hAnsi="Trebuchet MS"/>
        </w:rPr>
      </w:pPr>
      <w:r w:rsidRPr="000D35EF">
        <w:rPr>
          <w:rFonts w:ascii="Trebuchet MS" w:hAnsi="Trebuchet MS"/>
        </w:rPr>
        <w:t>Démocratie industrielle (pays scandinaves)</w:t>
      </w:r>
    </w:p>
    <w:p w:rsidR="000D35EF" w:rsidRPr="000D35EF" w:rsidRDefault="000D35EF" w:rsidP="000D35EF">
      <w:pPr>
        <w:spacing w:after="0"/>
        <w:jc w:val="both"/>
        <w:rPr>
          <w:rFonts w:ascii="Trebuchet MS" w:hAnsi="Trebuchet MS"/>
        </w:rPr>
      </w:pPr>
      <w:r w:rsidRPr="000D35EF">
        <w:rPr>
          <w:rFonts w:ascii="Trebuchet MS" w:hAnsi="Trebuchet MS"/>
        </w:rPr>
        <w:t>Là encore, l’ANI intègre cette donnée sous la forme d’un principe général : « La définition de la QVT, sa conduite et son évaluation sont des enjeux qui doivent être placés au cœur du développement du dialogue social. »</w:t>
      </w:r>
    </w:p>
    <w:p w:rsidR="000D35EF" w:rsidRPr="000D35EF" w:rsidRDefault="000D35EF" w:rsidP="000D35EF">
      <w:pPr>
        <w:spacing w:after="0"/>
        <w:jc w:val="both"/>
        <w:rPr>
          <w:rFonts w:ascii="Trebuchet MS" w:hAnsi="Trebuchet MS"/>
        </w:rPr>
      </w:pPr>
    </w:p>
    <w:p w:rsidR="00A632B9" w:rsidRPr="000D35EF" w:rsidRDefault="000D35EF" w:rsidP="000D35EF">
      <w:pPr>
        <w:spacing w:after="0"/>
        <w:jc w:val="both"/>
        <w:rPr>
          <w:rFonts w:ascii="Trebuchet MS" w:hAnsi="Trebuchet MS"/>
        </w:rPr>
      </w:pPr>
      <w:r w:rsidRPr="000D35EF">
        <w:rPr>
          <w:rFonts w:ascii="Trebuchet MS" w:hAnsi="Trebuchet MS"/>
        </w:rPr>
        <w:t>Quelle définition faut-il choisir ? Peut-on les utiliser toutes ? Le critère d’opérationnalité apparaît utile pour décider de cette question et c'est la démarche en elle-même qui aidera à définir le champ de la QVT pour l’entreprise. L'accord interprofessionnel signé par les partenaires sociaux au niveau national en juin 2013 dessine un cadre pour l'action et propose des éléments de définition et des indicateurs. Mais il appartient à chaque entreprise de s’approprier ces éléments pour les adapter à son contexte.</w:t>
      </w:r>
    </w:p>
    <w:sectPr w:rsidR="00A632B9" w:rsidRPr="000D35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E19AC"/>
    <w:multiLevelType w:val="hybridMultilevel"/>
    <w:tmpl w:val="3E188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13099A"/>
    <w:multiLevelType w:val="hybridMultilevel"/>
    <w:tmpl w:val="0ADAB3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AB279E8"/>
    <w:multiLevelType w:val="hybridMultilevel"/>
    <w:tmpl w:val="290C3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E76208"/>
    <w:multiLevelType w:val="hybridMultilevel"/>
    <w:tmpl w:val="40D22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F"/>
    <w:rsid w:val="000D35EF"/>
    <w:rsid w:val="00844AF9"/>
    <w:rsid w:val="00A63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6A0D7-6EA7-4F25-B63D-F10A6206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paragraph" w:styleId="Citationintense">
    <w:name w:val="Intense Quote"/>
    <w:basedOn w:val="Normal"/>
    <w:next w:val="Normal"/>
    <w:link w:val="CitationintenseCar"/>
    <w:uiPriority w:val="30"/>
    <w:qFormat/>
    <w:rsid w:val="000D35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0D35EF"/>
    <w:rPr>
      <w:i/>
      <w:iCs/>
      <w:color w:val="5B9BD5" w:themeColor="accent1"/>
    </w:rPr>
  </w:style>
  <w:style w:type="character" w:styleId="Lienhypertexte">
    <w:name w:val="Hyperlink"/>
    <w:basedOn w:val="Policepardfaut"/>
    <w:uiPriority w:val="99"/>
    <w:unhideWhenUsed/>
    <w:rsid w:val="000D35EF"/>
    <w:rPr>
      <w:color w:val="0563C1" w:themeColor="hyperlink"/>
      <w:u w:val="single"/>
    </w:rPr>
  </w:style>
  <w:style w:type="paragraph" w:styleId="Paragraphedeliste">
    <w:name w:val="List Paragraph"/>
    <w:basedOn w:val="Normal"/>
    <w:uiPriority w:val="34"/>
    <w:qFormat/>
    <w:rsid w:val="000D35EF"/>
    <w:pPr>
      <w:ind w:left="720"/>
      <w:contextualSpacing/>
    </w:pPr>
  </w:style>
  <w:style w:type="paragraph" w:styleId="Textedebulles">
    <w:name w:val="Balloon Text"/>
    <w:basedOn w:val="Normal"/>
    <w:link w:val="TextedebullesCar"/>
    <w:uiPriority w:val="99"/>
    <w:semiHidden/>
    <w:unhideWhenUsed/>
    <w:rsid w:val="000D35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3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act.fr/web/dossiers/performance-durable/qvt?p_thingIdToShow=3561776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cp:lastPrinted>2015-06-19T06:50:00Z</cp:lastPrinted>
  <dcterms:created xsi:type="dcterms:W3CDTF">2015-06-19T06:47:00Z</dcterms:created>
  <dcterms:modified xsi:type="dcterms:W3CDTF">2015-06-19T06:51:00Z</dcterms:modified>
</cp:coreProperties>
</file>