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7A0" w:rsidRDefault="00BD47A0">
      <w:bookmarkStart w:id="0" w:name="_GoBack"/>
      <w:bookmarkEnd w:id="0"/>
    </w:p>
    <w:p w:rsidR="006D6F20" w:rsidRDefault="006D6F20" w:rsidP="00177A0B"/>
    <w:p w:rsidR="00BD47A0" w:rsidRDefault="006D6F20" w:rsidP="00177A0B">
      <w:r>
        <w:t xml:space="preserve">Le </w:t>
      </w:r>
      <w:r w:rsidR="00BD47A0">
        <w:t xml:space="preserve">Dr </w:t>
      </w:r>
      <w:r w:rsidR="00BD47A0">
        <w:rPr>
          <w:rFonts w:ascii="Vrinda" w:hAnsi="Vrinda" w:cs="Vrinda"/>
        </w:rPr>
        <w:t>[</w:t>
      </w:r>
      <w:r w:rsidR="00BD47A0">
        <w:t>………………………</w:t>
      </w:r>
      <w:r>
        <w:t>……………..……………………………………………]</w:t>
      </w:r>
      <w:r w:rsidR="00BD47A0">
        <w:t>,</w:t>
      </w:r>
    </w:p>
    <w:p w:rsidR="00BD47A0" w:rsidRDefault="00BD47A0" w:rsidP="00177A0B">
      <w:proofErr w:type="gramStart"/>
      <w:r>
        <w:t>médec</w:t>
      </w:r>
      <w:r w:rsidR="006D6F20">
        <w:t>in</w:t>
      </w:r>
      <w:proofErr w:type="gramEnd"/>
      <w:r w:rsidR="006D6F20">
        <w:t xml:space="preserve"> </w:t>
      </w:r>
      <w:r w:rsidR="00D27176">
        <w:t>généraliste</w:t>
      </w:r>
      <w:r w:rsidR="006D6F20">
        <w:t xml:space="preserve"> </w:t>
      </w:r>
      <w:r w:rsidR="00F7636E">
        <w:t xml:space="preserve">n’est pas </w:t>
      </w:r>
      <w:r w:rsidR="006D6F20">
        <w:t xml:space="preserve">conventionné </w:t>
      </w:r>
      <w:r w:rsidR="00F7636E">
        <w:t>et peut donc fixer librement le montant de ses honoraires</w:t>
      </w:r>
    </w:p>
    <w:p w:rsidR="006D6F20" w:rsidRDefault="006D6F20" w:rsidP="00177A0B">
      <w:r>
        <w:t>Pour toute information complémentaire, nous vous invitons à consulter l’annuaire santé du site www.ameli.fr</w:t>
      </w:r>
    </w:p>
    <w:p w:rsidR="00BD47A0" w:rsidRDefault="00BD47A0" w:rsidP="00177A0B"/>
    <w:p w:rsidR="00BD47A0" w:rsidRPr="00177A0B" w:rsidRDefault="006D6F20" w:rsidP="00177A0B">
      <w:pPr>
        <w:overflowPunct/>
        <w:jc w:val="both"/>
        <w:textAlignment w:val="auto"/>
        <w:rPr>
          <w:rFonts w:cs="Arial"/>
          <w:color w:val="2C2A2A"/>
          <w:szCs w:val="22"/>
        </w:rPr>
      </w:pPr>
      <w:r w:rsidRPr="00177A0B">
        <w:rPr>
          <w:rFonts w:cs="Arial"/>
          <w:iCs/>
          <w:color w:val="2C2A2A"/>
          <w:szCs w:val="22"/>
        </w:rPr>
        <w:t xml:space="preserve">Votre médecin </w:t>
      </w:r>
      <w:r w:rsidR="00F7636E">
        <w:rPr>
          <w:rFonts w:cs="Arial"/>
          <w:iCs/>
          <w:color w:val="2C2A2A"/>
          <w:szCs w:val="22"/>
        </w:rPr>
        <w:t>n’est pas conventionné par la sécurité soci</w:t>
      </w:r>
      <w:r w:rsidR="003A2F0A">
        <w:rPr>
          <w:rFonts w:cs="Arial"/>
          <w:iCs/>
          <w:color w:val="2C2A2A"/>
          <w:szCs w:val="22"/>
        </w:rPr>
        <w:t>ale. Dès lors les prestations q</w:t>
      </w:r>
      <w:r w:rsidR="00F7636E">
        <w:rPr>
          <w:rFonts w:cs="Arial"/>
          <w:iCs/>
          <w:color w:val="2C2A2A"/>
          <w:szCs w:val="22"/>
        </w:rPr>
        <w:t>ui vous seront délivrées ne seront que très faible</w:t>
      </w:r>
      <w:r w:rsidR="003A2F0A">
        <w:rPr>
          <w:rFonts w:cs="Arial"/>
          <w:iCs/>
          <w:color w:val="2C2A2A"/>
          <w:szCs w:val="22"/>
        </w:rPr>
        <w:t>ment remboursées. Le montant de</w:t>
      </w:r>
      <w:r w:rsidR="00F7636E">
        <w:rPr>
          <w:rFonts w:cs="Arial"/>
          <w:iCs/>
          <w:color w:val="2C2A2A"/>
          <w:szCs w:val="22"/>
        </w:rPr>
        <w:t xml:space="preserve"> ses honoraires doit cependant être déterminé avec tact et mesure</w:t>
      </w:r>
      <w:r w:rsidR="005C4BD2">
        <w:rPr>
          <w:rFonts w:cs="Arial"/>
          <w:iCs/>
          <w:color w:val="2C2A2A"/>
          <w:szCs w:val="22"/>
        </w:rPr>
        <w:t xml:space="preserve"> en application de l’article 53 du Code de déontologie médicale</w:t>
      </w:r>
      <w:r w:rsidR="00F7636E">
        <w:rPr>
          <w:rFonts w:cs="Arial"/>
          <w:iCs/>
          <w:color w:val="2C2A2A"/>
          <w:szCs w:val="22"/>
        </w:rPr>
        <w:t>.</w:t>
      </w:r>
    </w:p>
    <w:p w:rsidR="00BD47A0" w:rsidRPr="00177A0B" w:rsidRDefault="00BD47A0"/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3260"/>
        <w:gridCol w:w="3402"/>
      </w:tblGrid>
      <w:tr w:rsidR="00BD47A0">
        <w:tc>
          <w:tcPr>
            <w:tcW w:w="2660" w:type="dxa"/>
            <w:tcBorders>
              <w:top w:val="nil"/>
              <w:left w:val="nil"/>
            </w:tcBorders>
          </w:tcPr>
          <w:p w:rsidR="00BD47A0" w:rsidRDefault="00BD47A0">
            <w:pPr>
              <w:rPr>
                <w:szCs w:val="22"/>
              </w:rPr>
            </w:pPr>
          </w:p>
        </w:tc>
        <w:tc>
          <w:tcPr>
            <w:tcW w:w="3260" w:type="dxa"/>
            <w:shd w:val="clear" w:color="auto" w:fill="99CCFF"/>
          </w:tcPr>
          <w:p w:rsidR="00BD47A0" w:rsidRDefault="00BD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Honoraires pratiqués</w:t>
            </w:r>
          </w:p>
        </w:tc>
        <w:tc>
          <w:tcPr>
            <w:tcW w:w="3402" w:type="dxa"/>
            <w:shd w:val="clear" w:color="auto" w:fill="99CCFF"/>
          </w:tcPr>
          <w:p w:rsidR="00BD47A0" w:rsidRDefault="0041744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Montant remboursé</w:t>
            </w:r>
          </w:p>
        </w:tc>
      </w:tr>
      <w:tr w:rsidR="00BD47A0" w:rsidTr="003C15E9">
        <w:tc>
          <w:tcPr>
            <w:tcW w:w="2660" w:type="dxa"/>
            <w:vAlign w:val="center"/>
          </w:tcPr>
          <w:p w:rsidR="00BD47A0" w:rsidRDefault="00BD47A0" w:rsidP="002D391A">
            <w:pPr>
              <w:jc w:val="center"/>
              <w:rPr>
                <w:szCs w:val="22"/>
              </w:rPr>
            </w:pPr>
          </w:p>
          <w:p w:rsidR="00BD47A0" w:rsidRDefault="00BD47A0" w:rsidP="002D391A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Consultation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BD47A0" w:rsidRPr="003C15E9" w:rsidRDefault="00BD47A0" w:rsidP="003C15E9">
            <w:pPr>
              <w:jc w:val="center"/>
              <w:rPr>
                <w:b/>
                <w:szCs w:val="22"/>
              </w:rPr>
            </w:pPr>
          </w:p>
          <w:p w:rsidR="00BD47A0" w:rsidRDefault="00BD47A0" w:rsidP="003C15E9">
            <w:pPr>
              <w:jc w:val="center"/>
              <w:rPr>
                <w:b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BD47A0" w:rsidRDefault="00BD47A0" w:rsidP="003C15E9">
            <w:pPr>
              <w:jc w:val="center"/>
              <w:rPr>
                <w:szCs w:val="22"/>
              </w:rPr>
            </w:pPr>
          </w:p>
          <w:p w:rsidR="00BD47A0" w:rsidRDefault="00FB6EA4" w:rsidP="003C15E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0,61 €</w:t>
            </w:r>
          </w:p>
        </w:tc>
      </w:tr>
      <w:tr w:rsidR="006D6F20" w:rsidTr="003C15E9">
        <w:tc>
          <w:tcPr>
            <w:tcW w:w="2660" w:type="dxa"/>
            <w:vAlign w:val="center"/>
          </w:tcPr>
          <w:p w:rsidR="002D391A" w:rsidRDefault="002D391A" w:rsidP="002D391A">
            <w:pPr>
              <w:jc w:val="center"/>
              <w:rPr>
                <w:szCs w:val="22"/>
              </w:rPr>
            </w:pPr>
          </w:p>
          <w:p w:rsidR="002D391A" w:rsidRDefault="006D6F20" w:rsidP="00FB6EA4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Visit</w:t>
            </w:r>
            <w:r w:rsidR="00FB6EA4">
              <w:rPr>
                <w:szCs w:val="22"/>
              </w:rPr>
              <w:t>e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:rsidR="006D6F20" w:rsidRPr="006D6F20" w:rsidRDefault="006D6F20" w:rsidP="003C15E9">
            <w:pPr>
              <w:jc w:val="center"/>
              <w:rPr>
                <w:b/>
                <w:szCs w:val="22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6D6F20" w:rsidRPr="006D6F20" w:rsidRDefault="00FB6EA4" w:rsidP="003C15E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0,61€</w:t>
            </w:r>
          </w:p>
        </w:tc>
      </w:tr>
    </w:tbl>
    <w:p w:rsidR="00BD47A0" w:rsidRDefault="00BD47A0"/>
    <w:tbl>
      <w:tblPr>
        <w:tblW w:w="9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3261"/>
        <w:gridCol w:w="3543"/>
      </w:tblGrid>
      <w:tr w:rsidR="00BD47A0">
        <w:tc>
          <w:tcPr>
            <w:tcW w:w="94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</w:tcPr>
          <w:p w:rsidR="00BD47A0" w:rsidRDefault="00BD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Honoraires du médecin de garde après régulation</w:t>
            </w:r>
          </w:p>
        </w:tc>
      </w:tr>
      <w:tr w:rsidR="00BD47A0">
        <w:tc>
          <w:tcPr>
            <w:tcW w:w="2612" w:type="dxa"/>
            <w:tcBorders>
              <w:top w:val="single" w:sz="4" w:space="0" w:color="auto"/>
              <w:left w:val="single" w:sz="4" w:space="0" w:color="auto"/>
            </w:tcBorders>
          </w:tcPr>
          <w:p w:rsidR="00BD47A0" w:rsidRDefault="00BD47A0">
            <w:pPr>
              <w:rPr>
                <w:szCs w:val="22"/>
              </w:rPr>
            </w:pPr>
          </w:p>
        </w:tc>
        <w:tc>
          <w:tcPr>
            <w:tcW w:w="3261" w:type="dxa"/>
          </w:tcPr>
          <w:p w:rsidR="00BD47A0" w:rsidRDefault="00BD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Honoraires pratiqués</w:t>
            </w:r>
          </w:p>
        </w:tc>
        <w:tc>
          <w:tcPr>
            <w:tcW w:w="3543" w:type="dxa"/>
          </w:tcPr>
          <w:p w:rsidR="00BD47A0" w:rsidRDefault="00BD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Base de remboursement</w:t>
            </w:r>
          </w:p>
        </w:tc>
      </w:tr>
      <w:tr w:rsidR="00BD47A0">
        <w:tc>
          <w:tcPr>
            <w:tcW w:w="2612" w:type="dxa"/>
          </w:tcPr>
          <w:p w:rsidR="00BD47A0" w:rsidRDefault="00BD47A0" w:rsidP="006D6F20">
            <w:pPr>
              <w:rPr>
                <w:szCs w:val="22"/>
              </w:rPr>
            </w:pPr>
            <w:r>
              <w:rPr>
                <w:szCs w:val="22"/>
              </w:rPr>
              <w:t xml:space="preserve">Consultation et majoration </w:t>
            </w:r>
            <w:r w:rsidR="006D6F20">
              <w:rPr>
                <w:szCs w:val="22"/>
              </w:rPr>
              <w:t xml:space="preserve">de samedi, </w:t>
            </w:r>
            <w:r>
              <w:rPr>
                <w:szCs w:val="22"/>
              </w:rPr>
              <w:t>dimanche et jour férié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D47A0" w:rsidRDefault="00BD47A0">
            <w:pPr>
              <w:jc w:val="center"/>
              <w:rPr>
                <w:szCs w:val="22"/>
              </w:rPr>
            </w:pPr>
          </w:p>
          <w:p w:rsidR="00BD47A0" w:rsidRDefault="006D6F20" w:rsidP="00B935D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51</w:t>
            </w:r>
            <w:r w:rsidR="009A0CDA">
              <w:rPr>
                <w:b/>
                <w:szCs w:val="22"/>
              </w:rPr>
              <w:t>,50</w:t>
            </w:r>
            <w:r w:rsidR="00BD47A0">
              <w:rPr>
                <w:b/>
                <w:szCs w:val="22"/>
              </w:rPr>
              <w:t xml:space="preserve"> €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D47A0" w:rsidRDefault="00BD47A0">
            <w:pPr>
              <w:jc w:val="center"/>
              <w:rPr>
                <w:szCs w:val="22"/>
              </w:rPr>
            </w:pPr>
          </w:p>
          <w:p w:rsidR="00BD47A0" w:rsidRDefault="006D6F20" w:rsidP="00B935D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51</w:t>
            </w:r>
            <w:r w:rsidR="009A0CDA">
              <w:rPr>
                <w:b/>
                <w:szCs w:val="22"/>
              </w:rPr>
              <w:t>,50</w:t>
            </w:r>
            <w:r w:rsidR="00BD47A0">
              <w:rPr>
                <w:b/>
                <w:szCs w:val="22"/>
              </w:rPr>
              <w:t xml:space="preserve"> €</w:t>
            </w:r>
          </w:p>
        </w:tc>
      </w:tr>
      <w:tr w:rsidR="00BD47A0">
        <w:trPr>
          <w:cantSplit/>
        </w:trPr>
        <w:tc>
          <w:tcPr>
            <w:tcW w:w="2612" w:type="dxa"/>
            <w:vMerge w:val="restart"/>
          </w:tcPr>
          <w:p w:rsidR="00BD47A0" w:rsidRDefault="00BD47A0">
            <w:pPr>
              <w:rPr>
                <w:szCs w:val="22"/>
              </w:rPr>
            </w:pPr>
          </w:p>
          <w:p w:rsidR="00BD47A0" w:rsidRDefault="00BD47A0">
            <w:pPr>
              <w:rPr>
                <w:szCs w:val="22"/>
              </w:rPr>
            </w:pPr>
            <w:r>
              <w:rPr>
                <w:szCs w:val="22"/>
              </w:rPr>
              <w:t>Consultation</w:t>
            </w:r>
          </w:p>
          <w:p w:rsidR="00BD47A0" w:rsidRDefault="00BD47A0">
            <w:pPr>
              <w:rPr>
                <w:szCs w:val="22"/>
              </w:rPr>
            </w:pPr>
            <w:r>
              <w:rPr>
                <w:szCs w:val="22"/>
              </w:rPr>
              <w:t>et majoration de nuit</w:t>
            </w:r>
          </w:p>
        </w:tc>
        <w:tc>
          <w:tcPr>
            <w:tcW w:w="3261" w:type="dxa"/>
            <w:tcBorders>
              <w:bottom w:val="dashSmallGap" w:sz="4" w:space="0" w:color="auto"/>
              <w:right w:val="single" w:sz="4" w:space="0" w:color="auto"/>
            </w:tcBorders>
          </w:tcPr>
          <w:p w:rsidR="00BD47A0" w:rsidRDefault="00BD47A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  <w:r w:rsidR="006D6F20">
              <w:rPr>
                <w:b/>
                <w:szCs w:val="22"/>
              </w:rPr>
              <w:t>7</w:t>
            </w:r>
            <w:r>
              <w:rPr>
                <w:b/>
                <w:szCs w:val="22"/>
              </w:rPr>
              <w:t>,50 €</w:t>
            </w:r>
          </w:p>
          <w:p w:rsidR="00BD47A0" w:rsidRDefault="00BD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(entre 20H et 24H / 6H et 8H)</w:t>
            </w:r>
          </w:p>
        </w:tc>
        <w:tc>
          <w:tcPr>
            <w:tcW w:w="3543" w:type="dxa"/>
            <w:tcBorders>
              <w:left w:val="single" w:sz="4" w:space="0" w:color="auto"/>
              <w:bottom w:val="dashSmallGap" w:sz="4" w:space="0" w:color="auto"/>
            </w:tcBorders>
          </w:tcPr>
          <w:p w:rsidR="00BD47A0" w:rsidRDefault="00BD47A0" w:rsidP="006D6F2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  <w:r w:rsidR="006D6F20">
              <w:rPr>
                <w:b/>
                <w:szCs w:val="22"/>
              </w:rPr>
              <w:t>7</w:t>
            </w:r>
            <w:r>
              <w:rPr>
                <w:b/>
                <w:szCs w:val="22"/>
              </w:rPr>
              <w:t>,50 €</w:t>
            </w:r>
          </w:p>
        </w:tc>
      </w:tr>
      <w:tr w:rsidR="00BD47A0" w:rsidTr="00B935D9">
        <w:trPr>
          <w:cantSplit/>
          <w:trHeight w:val="525"/>
        </w:trPr>
        <w:tc>
          <w:tcPr>
            <w:tcW w:w="2612" w:type="dxa"/>
            <w:vMerge/>
          </w:tcPr>
          <w:p w:rsidR="00BD47A0" w:rsidRDefault="00BD47A0">
            <w:pPr>
              <w:rPr>
                <w:szCs w:val="22"/>
              </w:rPr>
            </w:pPr>
          </w:p>
        </w:tc>
        <w:tc>
          <w:tcPr>
            <w:tcW w:w="3261" w:type="dxa"/>
            <w:tcBorders>
              <w:top w:val="dashSmallGap" w:sz="4" w:space="0" w:color="auto"/>
              <w:right w:val="single" w:sz="4" w:space="0" w:color="auto"/>
            </w:tcBorders>
          </w:tcPr>
          <w:p w:rsidR="00BD47A0" w:rsidRDefault="00BD47A0">
            <w:pPr>
              <w:jc w:val="center"/>
              <w:rPr>
                <w:szCs w:val="22"/>
              </w:rPr>
            </w:pPr>
            <w:r>
              <w:rPr>
                <w:b/>
                <w:szCs w:val="22"/>
              </w:rPr>
              <w:t>7</w:t>
            </w:r>
            <w:r w:rsidR="006D6F20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 xml:space="preserve">,50 </w:t>
            </w:r>
            <w:r>
              <w:rPr>
                <w:szCs w:val="22"/>
              </w:rPr>
              <w:t>€</w:t>
            </w:r>
          </w:p>
          <w:p w:rsidR="00BD47A0" w:rsidRDefault="00BD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(entre 24H et 6H)</w:t>
            </w:r>
          </w:p>
        </w:tc>
        <w:tc>
          <w:tcPr>
            <w:tcW w:w="3543" w:type="dxa"/>
            <w:tcBorders>
              <w:top w:val="dashSmallGap" w:sz="4" w:space="0" w:color="auto"/>
              <w:left w:val="single" w:sz="4" w:space="0" w:color="auto"/>
            </w:tcBorders>
          </w:tcPr>
          <w:p w:rsidR="00BD47A0" w:rsidRDefault="00BD47A0" w:rsidP="006D6F2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  <w:r w:rsidR="006D6F20">
              <w:rPr>
                <w:b/>
                <w:szCs w:val="22"/>
              </w:rPr>
              <w:t>6</w:t>
            </w:r>
            <w:r>
              <w:rPr>
                <w:b/>
                <w:szCs w:val="22"/>
              </w:rPr>
              <w:t>,50 €</w:t>
            </w:r>
          </w:p>
        </w:tc>
      </w:tr>
      <w:tr w:rsidR="00BD47A0">
        <w:tc>
          <w:tcPr>
            <w:tcW w:w="2612" w:type="dxa"/>
          </w:tcPr>
          <w:p w:rsidR="00BD47A0" w:rsidRDefault="00BD47A0">
            <w:pPr>
              <w:rPr>
                <w:szCs w:val="22"/>
              </w:rPr>
            </w:pPr>
            <w:r>
              <w:rPr>
                <w:szCs w:val="22"/>
              </w:rPr>
              <w:t>Visite et majoration de dimanche et jour férié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BD47A0" w:rsidRDefault="00BD47A0" w:rsidP="006D6F2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6D6F20">
              <w:rPr>
                <w:b/>
                <w:szCs w:val="22"/>
              </w:rPr>
              <w:t>5</w:t>
            </w:r>
            <w:r>
              <w:rPr>
                <w:b/>
                <w:szCs w:val="22"/>
              </w:rPr>
              <w:t xml:space="preserve"> €</w:t>
            </w:r>
          </w:p>
        </w:tc>
        <w:tc>
          <w:tcPr>
            <w:tcW w:w="3543" w:type="dxa"/>
            <w:tcBorders>
              <w:bottom w:val="single" w:sz="4" w:space="0" w:color="auto"/>
            </w:tcBorders>
          </w:tcPr>
          <w:p w:rsidR="00BD47A0" w:rsidRDefault="00B935D9" w:rsidP="006D6F2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  <w:r w:rsidR="006D6F20">
              <w:rPr>
                <w:b/>
                <w:szCs w:val="22"/>
              </w:rPr>
              <w:t>5</w:t>
            </w:r>
            <w:r w:rsidR="00BD47A0">
              <w:rPr>
                <w:b/>
                <w:szCs w:val="22"/>
              </w:rPr>
              <w:t xml:space="preserve"> €</w:t>
            </w:r>
          </w:p>
        </w:tc>
      </w:tr>
      <w:tr w:rsidR="00BD47A0">
        <w:trPr>
          <w:cantSplit/>
        </w:trPr>
        <w:tc>
          <w:tcPr>
            <w:tcW w:w="2612" w:type="dxa"/>
            <w:vMerge w:val="restart"/>
          </w:tcPr>
          <w:p w:rsidR="00BD47A0" w:rsidRDefault="00BD47A0">
            <w:pPr>
              <w:rPr>
                <w:szCs w:val="22"/>
              </w:rPr>
            </w:pPr>
          </w:p>
          <w:p w:rsidR="00BD47A0" w:rsidRDefault="00BD47A0">
            <w:pPr>
              <w:rPr>
                <w:szCs w:val="22"/>
              </w:rPr>
            </w:pPr>
            <w:r>
              <w:rPr>
                <w:szCs w:val="22"/>
              </w:rPr>
              <w:t>Visite à domicile</w:t>
            </w:r>
          </w:p>
          <w:p w:rsidR="00BD47A0" w:rsidRDefault="00BD47A0">
            <w:pPr>
              <w:rPr>
                <w:szCs w:val="22"/>
              </w:rPr>
            </w:pPr>
            <w:r>
              <w:rPr>
                <w:szCs w:val="22"/>
              </w:rPr>
              <w:t>et</w:t>
            </w:r>
          </w:p>
          <w:p w:rsidR="00BD47A0" w:rsidRDefault="00BD47A0">
            <w:pPr>
              <w:rPr>
                <w:szCs w:val="22"/>
              </w:rPr>
            </w:pPr>
            <w:r>
              <w:rPr>
                <w:szCs w:val="22"/>
              </w:rPr>
              <w:t>majoration de nuit</w:t>
            </w:r>
          </w:p>
        </w:tc>
        <w:tc>
          <w:tcPr>
            <w:tcW w:w="3261" w:type="dxa"/>
            <w:tcBorders>
              <w:bottom w:val="dashSmallGap" w:sz="4" w:space="0" w:color="auto"/>
            </w:tcBorders>
          </w:tcPr>
          <w:p w:rsidR="00BD47A0" w:rsidRDefault="006D6F20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71</w:t>
            </w:r>
            <w:r w:rsidR="00BD47A0">
              <w:rPr>
                <w:b/>
                <w:szCs w:val="22"/>
              </w:rPr>
              <w:t xml:space="preserve"> €</w:t>
            </w:r>
          </w:p>
          <w:p w:rsidR="00BD47A0" w:rsidRDefault="00BD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(entre 20H et 24H / 6H et 8H)</w:t>
            </w:r>
          </w:p>
        </w:tc>
        <w:tc>
          <w:tcPr>
            <w:tcW w:w="3543" w:type="dxa"/>
            <w:tcBorders>
              <w:bottom w:val="dashSmallGap" w:sz="4" w:space="0" w:color="auto"/>
            </w:tcBorders>
          </w:tcPr>
          <w:p w:rsidR="00BD47A0" w:rsidRDefault="006D6F20" w:rsidP="00B935D9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71</w:t>
            </w:r>
            <w:r w:rsidR="00BD47A0">
              <w:rPr>
                <w:b/>
                <w:szCs w:val="22"/>
              </w:rPr>
              <w:t xml:space="preserve"> €</w:t>
            </w:r>
          </w:p>
        </w:tc>
      </w:tr>
      <w:tr w:rsidR="00BD47A0">
        <w:trPr>
          <w:cantSplit/>
        </w:trPr>
        <w:tc>
          <w:tcPr>
            <w:tcW w:w="2612" w:type="dxa"/>
            <w:vMerge/>
          </w:tcPr>
          <w:p w:rsidR="00BD47A0" w:rsidRDefault="00BD47A0">
            <w:pPr>
              <w:rPr>
                <w:szCs w:val="22"/>
              </w:rPr>
            </w:pPr>
          </w:p>
        </w:tc>
        <w:tc>
          <w:tcPr>
            <w:tcW w:w="3261" w:type="dxa"/>
            <w:tcBorders>
              <w:top w:val="dashSmallGap" w:sz="4" w:space="0" w:color="auto"/>
            </w:tcBorders>
          </w:tcPr>
          <w:p w:rsidR="00BD47A0" w:rsidRDefault="0032217C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84,50</w:t>
            </w:r>
            <w:r w:rsidR="00BD47A0">
              <w:rPr>
                <w:b/>
                <w:szCs w:val="22"/>
              </w:rPr>
              <w:t xml:space="preserve"> €</w:t>
            </w:r>
          </w:p>
          <w:p w:rsidR="00BD47A0" w:rsidRDefault="00BD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(entre 24H et 6H)</w:t>
            </w:r>
          </w:p>
        </w:tc>
        <w:tc>
          <w:tcPr>
            <w:tcW w:w="3543" w:type="dxa"/>
            <w:tcBorders>
              <w:top w:val="dashSmallGap" w:sz="4" w:space="0" w:color="auto"/>
            </w:tcBorders>
          </w:tcPr>
          <w:p w:rsidR="00BD47A0" w:rsidRDefault="0032217C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84,50</w:t>
            </w:r>
            <w:r w:rsidR="00BD47A0">
              <w:rPr>
                <w:b/>
                <w:szCs w:val="22"/>
              </w:rPr>
              <w:t xml:space="preserve"> €</w:t>
            </w:r>
          </w:p>
          <w:p w:rsidR="00BD47A0" w:rsidRDefault="00BD47A0">
            <w:pPr>
              <w:jc w:val="center"/>
              <w:rPr>
                <w:szCs w:val="22"/>
              </w:rPr>
            </w:pPr>
          </w:p>
        </w:tc>
      </w:tr>
    </w:tbl>
    <w:p w:rsidR="00BD47A0" w:rsidRDefault="00BD47A0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88"/>
        <w:gridCol w:w="2640"/>
        <w:gridCol w:w="3236"/>
      </w:tblGrid>
      <w:tr w:rsidR="00BD47A0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99CCFF"/>
          </w:tcPr>
          <w:p w:rsidR="00BD47A0" w:rsidRDefault="00BD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Actes ou prestations les plus couramment pratiqués</w:t>
            </w:r>
          </w:p>
        </w:tc>
      </w:tr>
      <w:tr w:rsidR="00BD47A0">
        <w:tc>
          <w:tcPr>
            <w:tcW w:w="3588" w:type="dxa"/>
            <w:tcBorders>
              <w:top w:val="single" w:sz="4" w:space="0" w:color="auto"/>
              <w:left w:val="single" w:sz="4" w:space="0" w:color="auto"/>
            </w:tcBorders>
          </w:tcPr>
          <w:p w:rsidR="00BD47A0" w:rsidRDefault="00BD47A0">
            <w:pPr>
              <w:rPr>
                <w:szCs w:val="22"/>
              </w:rPr>
            </w:pPr>
          </w:p>
        </w:tc>
        <w:tc>
          <w:tcPr>
            <w:tcW w:w="2640" w:type="dxa"/>
          </w:tcPr>
          <w:p w:rsidR="00BD47A0" w:rsidRDefault="00BD47A0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Honoraires pratiqués</w:t>
            </w:r>
          </w:p>
        </w:tc>
        <w:tc>
          <w:tcPr>
            <w:tcW w:w="3236" w:type="dxa"/>
          </w:tcPr>
          <w:p w:rsidR="00BD47A0" w:rsidRDefault="00EE317F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Montant remboursé</w:t>
            </w:r>
          </w:p>
        </w:tc>
      </w:tr>
      <w:tr w:rsidR="00BD47A0" w:rsidTr="003C15E9">
        <w:tc>
          <w:tcPr>
            <w:tcW w:w="3588" w:type="dxa"/>
          </w:tcPr>
          <w:p w:rsidR="00417443" w:rsidRDefault="00BD47A0" w:rsidP="00417443">
            <w:pPr>
              <w:rPr>
                <w:szCs w:val="22"/>
              </w:rPr>
            </w:pPr>
            <w:r>
              <w:rPr>
                <w:szCs w:val="22"/>
              </w:rPr>
              <w:t xml:space="preserve">exemple 1 : </w:t>
            </w:r>
          </w:p>
          <w:p w:rsidR="00BD47A0" w:rsidRDefault="00BD47A0" w:rsidP="0032217C">
            <w:pPr>
              <w:rPr>
                <w:szCs w:val="22"/>
              </w:rPr>
            </w:pPr>
          </w:p>
          <w:p w:rsidR="001F19AA" w:rsidRDefault="001F19AA" w:rsidP="0032217C">
            <w:pPr>
              <w:rPr>
                <w:szCs w:val="22"/>
              </w:rPr>
            </w:pPr>
          </w:p>
        </w:tc>
        <w:tc>
          <w:tcPr>
            <w:tcW w:w="2640" w:type="dxa"/>
            <w:tcBorders>
              <w:bottom w:val="single" w:sz="4" w:space="0" w:color="auto"/>
            </w:tcBorders>
            <w:vAlign w:val="center"/>
          </w:tcPr>
          <w:p w:rsidR="00BD47A0" w:rsidRDefault="00BD47A0" w:rsidP="00417443">
            <w:pPr>
              <w:jc w:val="center"/>
              <w:rPr>
                <w:b/>
                <w:szCs w:val="22"/>
              </w:rPr>
            </w:pPr>
          </w:p>
        </w:tc>
        <w:tc>
          <w:tcPr>
            <w:tcW w:w="3236" w:type="dxa"/>
            <w:tcBorders>
              <w:bottom w:val="single" w:sz="4" w:space="0" w:color="auto"/>
            </w:tcBorders>
          </w:tcPr>
          <w:p w:rsidR="00BD47A0" w:rsidRDefault="00FB6EA4" w:rsidP="002B11CA">
            <w:pPr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0,61 €</w:t>
            </w:r>
          </w:p>
        </w:tc>
      </w:tr>
      <w:tr w:rsidR="00BD47A0">
        <w:tc>
          <w:tcPr>
            <w:tcW w:w="3588" w:type="dxa"/>
          </w:tcPr>
          <w:p w:rsidR="00BD47A0" w:rsidRDefault="00BD47A0">
            <w:pPr>
              <w:rPr>
                <w:szCs w:val="22"/>
              </w:rPr>
            </w:pPr>
            <w:r>
              <w:rPr>
                <w:szCs w:val="22"/>
              </w:rPr>
              <w:t>exemple 2 :</w:t>
            </w:r>
          </w:p>
          <w:p w:rsidR="00BD47A0" w:rsidRDefault="00BD47A0">
            <w:pPr>
              <w:rPr>
                <w:szCs w:val="22"/>
              </w:rPr>
            </w:pPr>
          </w:p>
          <w:p w:rsidR="00BD47A0" w:rsidRDefault="00BD47A0">
            <w:pPr>
              <w:rPr>
                <w:szCs w:val="22"/>
              </w:rPr>
            </w:pPr>
          </w:p>
        </w:tc>
        <w:tc>
          <w:tcPr>
            <w:tcW w:w="2640" w:type="dxa"/>
          </w:tcPr>
          <w:p w:rsidR="00BD47A0" w:rsidRDefault="00BD47A0">
            <w:pPr>
              <w:jc w:val="center"/>
              <w:rPr>
                <w:szCs w:val="22"/>
              </w:rPr>
            </w:pPr>
          </w:p>
        </w:tc>
        <w:tc>
          <w:tcPr>
            <w:tcW w:w="3236" w:type="dxa"/>
          </w:tcPr>
          <w:p w:rsidR="00BD47A0" w:rsidRDefault="00BD47A0">
            <w:pPr>
              <w:jc w:val="center"/>
              <w:rPr>
                <w:szCs w:val="22"/>
              </w:rPr>
            </w:pPr>
          </w:p>
          <w:p w:rsidR="00BD47A0" w:rsidRDefault="00BD47A0">
            <w:pPr>
              <w:jc w:val="center"/>
              <w:rPr>
                <w:szCs w:val="22"/>
              </w:rPr>
            </w:pPr>
          </w:p>
        </w:tc>
      </w:tr>
      <w:tr w:rsidR="00BD47A0">
        <w:tc>
          <w:tcPr>
            <w:tcW w:w="3588" w:type="dxa"/>
          </w:tcPr>
          <w:p w:rsidR="00BD47A0" w:rsidRDefault="00BD47A0">
            <w:pPr>
              <w:rPr>
                <w:szCs w:val="22"/>
              </w:rPr>
            </w:pPr>
            <w:r>
              <w:rPr>
                <w:szCs w:val="22"/>
              </w:rPr>
              <w:t>exemple 3 :</w:t>
            </w:r>
          </w:p>
          <w:p w:rsidR="00BD47A0" w:rsidRDefault="00BD47A0">
            <w:pPr>
              <w:rPr>
                <w:szCs w:val="22"/>
              </w:rPr>
            </w:pPr>
          </w:p>
          <w:p w:rsidR="00BD47A0" w:rsidRDefault="00BD47A0">
            <w:pPr>
              <w:rPr>
                <w:szCs w:val="22"/>
              </w:rPr>
            </w:pPr>
          </w:p>
        </w:tc>
        <w:tc>
          <w:tcPr>
            <w:tcW w:w="2640" w:type="dxa"/>
          </w:tcPr>
          <w:p w:rsidR="00BD47A0" w:rsidRDefault="00BD47A0">
            <w:pPr>
              <w:jc w:val="center"/>
              <w:rPr>
                <w:szCs w:val="22"/>
              </w:rPr>
            </w:pPr>
          </w:p>
        </w:tc>
        <w:tc>
          <w:tcPr>
            <w:tcW w:w="3236" w:type="dxa"/>
          </w:tcPr>
          <w:p w:rsidR="00BD47A0" w:rsidRDefault="00BD47A0">
            <w:pPr>
              <w:jc w:val="center"/>
              <w:rPr>
                <w:szCs w:val="22"/>
              </w:rPr>
            </w:pPr>
          </w:p>
          <w:p w:rsidR="00BD47A0" w:rsidRDefault="00BD47A0">
            <w:pPr>
              <w:jc w:val="center"/>
              <w:rPr>
                <w:szCs w:val="22"/>
              </w:rPr>
            </w:pPr>
          </w:p>
        </w:tc>
      </w:tr>
      <w:tr w:rsidR="00BD47A0">
        <w:tc>
          <w:tcPr>
            <w:tcW w:w="3588" w:type="dxa"/>
          </w:tcPr>
          <w:p w:rsidR="00BD47A0" w:rsidRDefault="00BD47A0">
            <w:pPr>
              <w:rPr>
                <w:szCs w:val="22"/>
              </w:rPr>
            </w:pPr>
            <w:r>
              <w:rPr>
                <w:szCs w:val="22"/>
              </w:rPr>
              <w:t>exemple 4 :</w:t>
            </w:r>
          </w:p>
          <w:p w:rsidR="00BD47A0" w:rsidRDefault="00BD47A0">
            <w:pPr>
              <w:rPr>
                <w:szCs w:val="22"/>
              </w:rPr>
            </w:pPr>
          </w:p>
          <w:p w:rsidR="00BD47A0" w:rsidRDefault="00BD47A0">
            <w:pPr>
              <w:rPr>
                <w:szCs w:val="22"/>
              </w:rPr>
            </w:pPr>
          </w:p>
        </w:tc>
        <w:tc>
          <w:tcPr>
            <w:tcW w:w="2640" w:type="dxa"/>
          </w:tcPr>
          <w:p w:rsidR="00BD47A0" w:rsidRDefault="00BD47A0">
            <w:pPr>
              <w:jc w:val="center"/>
              <w:rPr>
                <w:szCs w:val="22"/>
              </w:rPr>
            </w:pPr>
          </w:p>
        </w:tc>
        <w:tc>
          <w:tcPr>
            <w:tcW w:w="3236" w:type="dxa"/>
          </w:tcPr>
          <w:p w:rsidR="00BD47A0" w:rsidRDefault="00BD47A0">
            <w:pPr>
              <w:jc w:val="center"/>
              <w:rPr>
                <w:szCs w:val="22"/>
              </w:rPr>
            </w:pPr>
          </w:p>
          <w:p w:rsidR="00BD47A0" w:rsidRDefault="00BD47A0">
            <w:pPr>
              <w:jc w:val="center"/>
              <w:rPr>
                <w:szCs w:val="22"/>
              </w:rPr>
            </w:pPr>
          </w:p>
        </w:tc>
      </w:tr>
      <w:tr w:rsidR="00CD286C">
        <w:tc>
          <w:tcPr>
            <w:tcW w:w="3588" w:type="dxa"/>
          </w:tcPr>
          <w:p w:rsidR="00CD286C" w:rsidRDefault="00CD286C">
            <w:pPr>
              <w:rPr>
                <w:szCs w:val="22"/>
              </w:rPr>
            </w:pPr>
            <w:r>
              <w:rPr>
                <w:szCs w:val="22"/>
              </w:rPr>
              <w:t>exemple 5 :</w:t>
            </w:r>
          </w:p>
          <w:p w:rsidR="00CD286C" w:rsidRDefault="00CD286C">
            <w:pPr>
              <w:rPr>
                <w:szCs w:val="22"/>
              </w:rPr>
            </w:pPr>
          </w:p>
          <w:p w:rsidR="00B6098F" w:rsidRDefault="00B6098F">
            <w:pPr>
              <w:rPr>
                <w:szCs w:val="22"/>
              </w:rPr>
            </w:pPr>
          </w:p>
        </w:tc>
        <w:tc>
          <w:tcPr>
            <w:tcW w:w="2640" w:type="dxa"/>
          </w:tcPr>
          <w:p w:rsidR="00CD286C" w:rsidRDefault="00CD286C">
            <w:pPr>
              <w:jc w:val="center"/>
              <w:rPr>
                <w:szCs w:val="22"/>
              </w:rPr>
            </w:pPr>
          </w:p>
        </w:tc>
        <w:tc>
          <w:tcPr>
            <w:tcW w:w="3236" w:type="dxa"/>
          </w:tcPr>
          <w:p w:rsidR="00CD286C" w:rsidRDefault="00CD286C">
            <w:pPr>
              <w:jc w:val="center"/>
              <w:rPr>
                <w:szCs w:val="22"/>
              </w:rPr>
            </w:pPr>
          </w:p>
        </w:tc>
      </w:tr>
    </w:tbl>
    <w:p w:rsidR="00BD47A0" w:rsidRDefault="00BD47A0">
      <w:pPr>
        <w:rPr>
          <w:sz w:val="16"/>
          <w:szCs w:val="16"/>
        </w:rPr>
      </w:pPr>
    </w:p>
    <w:p w:rsidR="00B84150" w:rsidRDefault="00B84150">
      <w:pPr>
        <w:rPr>
          <w:sz w:val="16"/>
          <w:szCs w:val="16"/>
        </w:rPr>
      </w:pPr>
    </w:p>
    <w:p w:rsidR="00B84150" w:rsidRDefault="00B84150" w:rsidP="00177A0B">
      <w:pPr>
        <w:jc w:val="both"/>
        <w:rPr>
          <w:szCs w:val="22"/>
        </w:rPr>
      </w:pPr>
      <w:r>
        <w:rPr>
          <w:szCs w:val="22"/>
        </w:rPr>
        <w:t xml:space="preserve">Votre médecin doit obligatoirement vous informer avant de réaliser un acte non remboursé par la sécurité sociale. En outre, </w:t>
      </w:r>
      <w:r w:rsidR="005C4BD2">
        <w:rPr>
          <w:szCs w:val="22"/>
        </w:rPr>
        <w:t xml:space="preserve">lorsque les </w:t>
      </w:r>
      <w:r>
        <w:rPr>
          <w:szCs w:val="22"/>
        </w:rPr>
        <w:t>honoraires des actes et prestations facturés atteignent 70 euros, votre médecin doit vous en informer par écrit, préalablement à la réalisation de la prestation.</w:t>
      </w:r>
    </w:p>
    <w:p w:rsidR="007A3157" w:rsidRPr="00B84150" w:rsidRDefault="007A3157" w:rsidP="00177A0B">
      <w:pPr>
        <w:jc w:val="both"/>
        <w:rPr>
          <w:szCs w:val="22"/>
        </w:rPr>
      </w:pPr>
    </w:p>
    <w:sectPr w:rsidR="007A3157" w:rsidRPr="00B84150" w:rsidSect="007814AC">
      <w:headerReference w:type="default" r:id="rId7"/>
      <w:footerReference w:type="even" r:id="rId8"/>
      <w:footerReference w:type="default" r:id="rId9"/>
      <w:footerReference w:type="first" r:id="rId10"/>
      <w:pgSz w:w="11907" w:h="16834"/>
      <w:pgMar w:top="567" w:right="1418" w:bottom="1134" w:left="1418" w:header="1418" w:footer="54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7C4D" w:rsidRDefault="00337C4D">
      <w:r>
        <w:separator/>
      </w:r>
    </w:p>
  </w:endnote>
  <w:endnote w:type="continuationSeparator" w:id="0">
    <w:p w:rsidR="00337C4D" w:rsidRDefault="00337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ZapfHumanis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A0" w:rsidRDefault="00BD47A0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0</w:t>
    </w:r>
    <w:r>
      <w:rPr>
        <w:rStyle w:val="Numrodepage"/>
      </w:rPr>
      <w:fldChar w:fldCharType="end"/>
    </w:r>
  </w:p>
  <w:p w:rsidR="00BD47A0" w:rsidRDefault="00BD47A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A0" w:rsidRDefault="00BD47A0">
    <w:pPr>
      <w:pStyle w:val="Pieddepage"/>
      <w:framePr w:wrap="around" w:vAnchor="text" w:hAnchor="margin" w:xAlign="right" w:y="1"/>
      <w:rPr>
        <w:rStyle w:val="Numrodepage"/>
      </w:rPr>
    </w:pPr>
  </w:p>
  <w:p w:rsidR="007814AC" w:rsidRPr="007814AC" w:rsidRDefault="007814AC" w:rsidP="007814AC">
    <w:pPr>
      <w:pStyle w:val="En-tte"/>
      <w:rPr>
        <w:rFonts w:ascii="Arial" w:hAnsi="Arial" w:cs="Arial"/>
        <w:color w:val="0070C0"/>
        <w:sz w:val="16"/>
        <w:szCs w:val="16"/>
      </w:rPr>
    </w:pPr>
    <w:r w:rsidRPr="007814AC">
      <w:rPr>
        <w:rFonts w:ascii="Arial" w:hAnsi="Arial" w:cs="Arial"/>
        <w:color w:val="0070C0"/>
        <w:sz w:val="18"/>
      </w:rPr>
      <w:t>Conseil national de l’Ordre des médecins - juillet 2018</w:t>
    </w:r>
    <w:r w:rsidRPr="007814AC">
      <w:rPr>
        <w:rFonts w:ascii="Arial" w:hAnsi="Arial" w:cs="Arial"/>
        <w:color w:val="0070C0"/>
        <w:sz w:val="18"/>
      </w:rPr>
      <w:tab/>
    </w:r>
    <w:r w:rsidRPr="007814AC">
      <w:rPr>
        <w:rFonts w:ascii="Arial" w:hAnsi="Arial" w:cs="Arial"/>
        <w:color w:val="0070C0"/>
        <w:sz w:val="18"/>
      </w:rPr>
      <w:tab/>
    </w:r>
    <w:r w:rsidRPr="007814AC">
      <w:rPr>
        <w:rFonts w:ascii="Arial" w:hAnsi="Arial" w:cs="Arial"/>
        <w:color w:val="0070C0"/>
        <w:sz w:val="18"/>
      </w:rPr>
      <w:tab/>
    </w:r>
    <w:r w:rsidRPr="007814AC">
      <w:rPr>
        <w:rFonts w:ascii="Arial" w:hAnsi="Arial" w:cs="Arial"/>
        <w:color w:val="0070C0"/>
        <w:sz w:val="16"/>
        <w:szCs w:val="16"/>
      </w:rPr>
      <w:fldChar w:fldCharType="begin"/>
    </w:r>
    <w:r w:rsidRPr="007814AC">
      <w:rPr>
        <w:rFonts w:ascii="Arial" w:hAnsi="Arial" w:cs="Arial"/>
        <w:color w:val="0070C0"/>
        <w:sz w:val="16"/>
        <w:szCs w:val="16"/>
      </w:rPr>
      <w:instrText>PAGE</w:instrText>
    </w:r>
    <w:r w:rsidRPr="007814AC">
      <w:rPr>
        <w:rFonts w:ascii="Arial" w:hAnsi="Arial" w:cs="Arial"/>
        <w:color w:val="0070C0"/>
        <w:sz w:val="16"/>
        <w:szCs w:val="16"/>
      </w:rPr>
      <w:fldChar w:fldCharType="separate"/>
    </w:r>
    <w:r w:rsidR="005C4BD2">
      <w:rPr>
        <w:rFonts w:ascii="Arial" w:hAnsi="Arial" w:cs="Arial"/>
        <w:noProof/>
        <w:color w:val="0070C0"/>
        <w:sz w:val="16"/>
        <w:szCs w:val="16"/>
      </w:rPr>
      <w:t>2</w:t>
    </w:r>
    <w:r w:rsidRPr="007814AC">
      <w:rPr>
        <w:rFonts w:ascii="Arial" w:hAnsi="Arial" w:cs="Arial"/>
        <w:color w:val="0070C0"/>
        <w:sz w:val="16"/>
        <w:szCs w:val="16"/>
      </w:rPr>
      <w:fldChar w:fldCharType="end"/>
    </w:r>
    <w:r w:rsidRPr="007814AC">
      <w:rPr>
        <w:rFonts w:ascii="Arial" w:hAnsi="Arial" w:cs="Arial"/>
        <w:color w:val="0070C0"/>
        <w:sz w:val="16"/>
        <w:szCs w:val="16"/>
      </w:rPr>
      <w:t xml:space="preserve">/ </w:t>
    </w:r>
    <w:r w:rsidRPr="007814AC">
      <w:rPr>
        <w:rFonts w:ascii="Arial" w:hAnsi="Arial" w:cs="Arial"/>
        <w:color w:val="0070C0"/>
        <w:sz w:val="16"/>
        <w:szCs w:val="16"/>
      </w:rPr>
      <w:fldChar w:fldCharType="begin"/>
    </w:r>
    <w:r w:rsidRPr="007814AC">
      <w:rPr>
        <w:rFonts w:ascii="Arial" w:hAnsi="Arial" w:cs="Arial"/>
        <w:color w:val="0070C0"/>
        <w:sz w:val="16"/>
        <w:szCs w:val="16"/>
      </w:rPr>
      <w:instrText>NUMPAGES</w:instrText>
    </w:r>
    <w:r w:rsidRPr="007814AC">
      <w:rPr>
        <w:rFonts w:ascii="Arial" w:hAnsi="Arial" w:cs="Arial"/>
        <w:color w:val="0070C0"/>
        <w:sz w:val="16"/>
        <w:szCs w:val="16"/>
      </w:rPr>
      <w:fldChar w:fldCharType="separate"/>
    </w:r>
    <w:r w:rsidR="005C4BD2">
      <w:rPr>
        <w:rFonts w:ascii="Arial" w:hAnsi="Arial" w:cs="Arial"/>
        <w:noProof/>
        <w:color w:val="0070C0"/>
        <w:sz w:val="16"/>
        <w:szCs w:val="16"/>
      </w:rPr>
      <w:t>2</w:t>
    </w:r>
    <w:r w:rsidRPr="007814AC">
      <w:rPr>
        <w:rFonts w:ascii="Arial" w:hAnsi="Arial" w:cs="Arial"/>
        <w:color w:val="0070C0"/>
        <w:sz w:val="16"/>
        <w:szCs w:val="16"/>
      </w:rPr>
      <w:fldChar w:fldCharType="end"/>
    </w:r>
  </w:p>
  <w:p w:rsidR="007814AC" w:rsidRPr="007814AC" w:rsidRDefault="007814AC" w:rsidP="007814AC">
    <w:pPr>
      <w:pStyle w:val="Pieddepage"/>
      <w:rPr>
        <w:rFonts w:cs="Arial"/>
        <w:color w:val="0070C0"/>
        <w:sz w:val="18"/>
      </w:rPr>
    </w:pPr>
    <w:r w:rsidRPr="007814AC">
      <w:rPr>
        <w:rFonts w:cs="Arial"/>
        <w:color w:val="0070C0"/>
        <w:sz w:val="18"/>
      </w:rPr>
      <w:t>Affichage MG non conventionné</w:t>
    </w:r>
  </w:p>
  <w:p w:rsidR="00BD47A0" w:rsidRDefault="00BD47A0" w:rsidP="007814AC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14AC" w:rsidRPr="007814AC" w:rsidRDefault="00BD47A0" w:rsidP="007814AC">
    <w:pPr>
      <w:pStyle w:val="En-tte"/>
      <w:rPr>
        <w:rFonts w:ascii="Arial" w:hAnsi="Arial" w:cs="Arial"/>
        <w:color w:val="0070C0"/>
        <w:sz w:val="16"/>
        <w:szCs w:val="16"/>
      </w:rPr>
    </w:pPr>
    <w:r w:rsidRPr="007814AC">
      <w:rPr>
        <w:rFonts w:ascii="Arial" w:hAnsi="Arial" w:cs="Arial"/>
        <w:color w:val="0070C0"/>
        <w:sz w:val="18"/>
      </w:rPr>
      <w:t xml:space="preserve">Conseil national de l’Ordre des médecins - </w:t>
    </w:r>
    <w:r w:rsidR="0032217C" w:rsidRPr="007814AC">
      <w:rPr>
        <w:rFonts w:ascii="Arial" w:hAnsi="Arial" w:cs="Arial"/>
        <w:color w:val="0070C0"/>
        <w:sz w:val="18"/>
      </w:rPr>
      <w:t>juillet 2018</w:t>
    </w:r>
    <w:r w:rsidR="007814AC" w:rsidRPr="007814AC">
      <w:rPr>
        <w:rFonts w:ascii="Arial" w:hAnsi="Arial" w:cs="Arial"/>
        <w:color w:val="0070C0"/>
        <w:sz w:val="18"/>
      </w:rPr>
      <w:tab/>
    </w:r>
    <w:r w:rsidR="007814AC" w:rsidRPr="007814AC">
      <w:rPr>
        <w:rFonts w:ascii="Arial" w:hAnsi="Arial" w:cs="Arial"/>
        <w:color w:val="0070C0"/>
        <w:sz w:val="18"/>
      </w:rPr>
      <w:tab/>
    </w:r>
    <w:r w:rsidR="007814AC" w:rsidRPr="007814AC">
      <w:rPr>
        <w:rFonts w:ascii="Arial" w:hAnsi="Arial" w:cs="Arial"/>
        <w:color w:val="0070C0"/>
        <w:sz w:val="18"/>
      </w:rPr>
      <w:tab/>
    </w:r>
    <w:r w:rsidR="007814AC" w:rsidRPr="007814AC">
      <w:rPr>
        <w:rFonts w:ascii="Arial" w:hAnsi="Arial" w:cs="Arial"/>
        <w:color w:val="0070C0"/>
        <w:sz w:val="16"/>
        <w:szCs w:val="16"/>
      </w:rPr>
      <w:fldChar w:fldCharType="begin"/>
    </w:r>
    <w:r w:rsidR="007814AC" w:rsidRPr="007814AC">
      <w:rPr>
        <w:rFonts w:ascii="Arial" w:hAnsi="Arial" w:cs="Arial"/>
        <w:color w:val="0070C0"/>
        <w:sz w:val="16"/>
        <w:szCs w:val="16"/>
      </w:rPr>
      <w:instrText>PAGE</w:instrText>
    </w:r>
    <w:r w:rsidR="007814AC" w:rsidRPr="007814AC">
      <w:rPr>
        <w:rFonts w:ascii="Arial" w:hAnsi="Arial" w:cs="Arial"/>
        <w:color w:val="0070C0"/>
        <w:sz w:val="16"/>
        <w:szCs w:val="16"/>
      </w:rPr>
      <w:fldChar w:fldCharType="separate"/>
    </w:r>
    <w:r w:rsidR="00140EB2">
      <w:rPr>
        <w:rFonts w:ascii="Arial" w:hAnsi="Arial" w:cs="Arial"/>
        <w:noProof/>
        <w:color w:val="0070C0"/>
        <w:sz w:val="16"/>
        <w:szCs w:val="16"/>
      </w:rPr>
      <w:t>1</w:t>
    </w:r>
    <w:r w:rsidR="007814AC" w:rsidRPr="007814AC">
      <w:rPr>
        <w:rFonts w:ascii="Arial" w:hAnsi="Arial" w:cs="Arial"/>
        <w:color w:val="0070C0"/>
        <w:sz w:val="16"/>
        <w:szCs w:val="16"/>
      </w:rPr>
      <w:fldChar w:fldCharType="end"/>
    </w:r>
    <w:r w:rsidR="007814AC" w:rsidRPr="007814AC">
      <w:rPr>
        <w:rFonts w:ascii="Arial" w:hAnsi="Arial" w:cs="Arial"/>
        <w:color w:val="0070C0"/>
        <w:sz w:val="16"/>
        <w:szCs w:val="16"/>
      </w:rPr>
      <w:t xml:space="preserve">/ </w:t>
    </w:r>
    <w:r w:rsidR="007814AC" w:rsidRPr="007814AC">
      <w:rPr>
        <w:rFonts w:ascii="Arial" w:hAnsi="Arial" w:cs="Arial"/>
        <w:color w:val="0070C0"/>
        <w:sz w:val="16"/>
        <w:szCs w:val="16"/>
      </w:rPr>
      <w:fldChar w:fldCharType="begin"/>
    </w:r>
    <w:r w:rsidR="007814AC" w:rsidRPr="007814AC">
      <w:rPr>
        <w:rFonts w:ascii="Arial" w:hAnsi="Arial" w:cs="Arial"/>
        <w:color w:val="0070C0"/>
        <w:sz w:val="16"/>
        <w:szCs w:val="16"/>
      </w:rPr>
      <w:instrText>NUMPAGES</w:instrText>
    </w:r>
    <w:r w:rsidR="007814AC" w:rsidRPr="007814AC">
      <w:rPr>
        <w:rFonts w:ascii="Arial" w:hAnsi="Arial" w:cs="Arial"/>
        <w:color w:val="0070C0"/>
        <w:sz w:val="16"/>
        <w:szCs w:val="16"/>
      </w:rPr>
      <w:fldChar w:fldCharType="separate"/>
    </w:r>
    <w:r w:rsidR="00140EB2">
      <w:rPr>
        <w:rFonts w:ascii="Arial" w:hAnsi="Arial" w:cs="Arial"/>
        <w:noProof/>
        <w:color w:val="0070C0"/>
        <w:sz w:val="16"/>
        <w:szCs w:val="16"/>
      </w:rPr>
      <w:t>1</w:t>
    </w:r>
    <w:r w:rsidR="007814AC" w:rsidRPr="007814AC">
      <w:rPr>
        <w:rFonts w:ascii="Arial" w:hAnsi="Arial" w:cs="Arial"/>
        <w:color w:val="0070C0"/>
        <w:sz w:val="16"/>
        <w:szCs w:val="16"/>
      </w:rPr>
      <w:fldChar w:fldCharType="end"/>
    </w:r>
  </w:p>
  <w:p w:rsidR="00E346A7" w:rsidRPr="007814AC" w:rsidRDefault="00E346A7">
    <w:pPr>
      <w:pStyle w:val="Pieddepage"/>
      <w:rPr>
        <w:rFonts w:cs="Arial"/>
        <w:color w:val="0070C0"/>
        <w:sz w:val="18"/>
      </w:rPr>
    </w:pPr>
    <w:r w:rsidRPr="007814AC">
      <w:rPr>
        <w:rFonts w:cs="Arial"/>
        <w:color w:val="0070C0"/>
        <w:sz w:val="18"/>
      </w:rPr>
      <w:t>Affichage MG non conventionné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7C4D" w:rsidRDefault="00337C4D">
      <w:r>
        <w:separator/>
      </w:r>
    </w:p>
  </w:footnote>
  <w:footnote w:type="continuationSeparator" w:id="0">
    <w:p w:rsidR="00337C4D" w:rsidRDefault="00337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47A0" w:rsidRDefault="00BD47A0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B0FDF"/>
    <w:multiLevelType w:val="hybridMultilevel"/>
    <w:tmpl w:val="2B72F83E"/>
    <w:lvl w:ilvl="0" w:tplc="44F01D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4819FE"/>
    <w:multiLevelType w:val="hybridMultilevel"/>
    <w:tmpl w:val="9FD8B776"/>
    <w:lvl w:ilvl="0" w:tplc="34D2E44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927D85"/>
    <w:multiLevelType w:val="hybridMultilevel"/>
    <w:tmpl w:val="73A4E87A"/>
    <w:lvl w:ilvl="0" w:tplc="480A18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7650D"/>
    <w:multiLevelType w:val="hybridMultilevel"/>
    <w:tmpl w:val="CE309E58"/>
    <w:lvl w:ilvl="0" w:tplc="3BD85CB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EB157A"/>
    <w:multiLevelType w:val="hybridMultilevel"/>
    <w:tmpl w:val="52C60AE8"/>
    <w:lvl w:ilvl="0" w:tplc="74A669E0">
      <w:start w:val="1"/>
      <w:numFmt w:val="bullet"/>
      <w:lvlText w:val="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E35E77"/>
    <w:multiLevelType w:val="hybridMultilevel"/>
    <w:tmpl w:val="9FD8B776"/>
    <w:lvl w:ilvl="0" w:tplc="480A18F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D23FE2"/>
    <w:multiLevelType w:val="hybridMultilevel"/>
    <w:tmpl w:val="7D3A7E06"/>
    <w:lvl w:ilvl="0" w:tplc="455A23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CD65A1"/>
    <w:multiLevelType w:val="hybridMultilevel"/>
    <w:tmpl w:val="3592A0D0"/>
    <w:lvl w:ilvl="0" w:tplc="44F01D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11EE"/>
    <w:rsid w:val="000C1E36"/>
    <w:rsid w:val="000E1A71"/>
    <w:rsid w:val="00140EB2"/>
    <w:rsid w:val="00177A0B"/>
    <w:rsid w:val="001C4B39"/>
    <w:rsid w:val="001F19AA"/>
    <w:rsid w:val="002B11CA"/>
    <w:rsid w:val="002D391A"/>
    <w:rsid w:val="0032217C"/>
    <w:rsid w:val="00337C4D"/>
    <w:rsid w:val="00340B0C"/>
    <w:rsid w:val="003A2F0A"/>
    <w:rsid w:val="003C15E9"/>
    <w:rsid w:val="00407E88"/>
    <w:rsid w:val="00417443"/>
    <w:rsid w:val="00532C26"/>
    <w:rsid w:val="005611EE"/>
    <w:rsid w:val="005C4BD2"/>
    <w:rsid w:val="006020B0"/>
    <w:rsid w:val="006D6F20"/>
    <w:rsid w:val="007679C9"/>
    <w:rsid w:val="00771A3E"/>
    <w:rsid w:val="007814AC"/>
    <w:rsid w:val="007A3157"/>
    <w:rsid w:val="00922637"/>
    <w:rsid w:val="00931654"/>
    <w:rsid w:val="009A0CDA"/>
    <w:rsid w:val="009D7578"/>
    <w:rsid w:val="00A44398"/>
    <w:rsid w:val="00A95D00"/>
    <w:rsid w:val="00B6098F"/>
    <w:rsid w:val="00B84150"/>
    <w:rsid w:val="00B935D9"/>
    <w:rsid w:val="00BD039C"/>
    <w:rsid w:val="00BD47A0"/>
    <w:rsid w:val="00CD286C"/>
    <w:rsid w:val="00CF4210"/>
    <w:rsid w:val="00D27176"/>
    <w:rsid w:val="00D63016"/>
    <w:rsid w:val="00DD6F5A"/>
    <w:rsid w:val="00E056C3"/>
    <w:rsid w:val="00E346A7"/>
    <w:rsid w:val="00EE317F"/>
    <w:rsid w:val="00EF5445"/>
    <w:rsid w:val="00F7166E"/>
    <w:rsid w:val="00F73CDA"/>
    <w:rsid w:val="00F7636E"/>
    <w:rsid w:val="00FB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E092C0FF-073E-48B4-A43B-2499BB1CB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styleId="Titre1">
    <w:name w:val="heading 1"/>
    <w:basedOn w:val="Normal"/>
    <w:next w:val="Normal"/>
    <w:qFormat/>
    <w:pPr>
      <w:keepNext/>
      <w:overflowPunct/>
      <w:autoSpaceDE/>
      <w:autoSpaceDN/>
      <w:adjustRightInd/>
      <w:jc w:val="right"/>
      <w:textAlignment w:val="auto"/>
      <w:outlineLvl w:val="0"/>
    </w:pPr>
    <w:rPr>
      <w:rFonts w:ascii="Garamond" w:hAnsi="Garamond"/>
      <w:i/>
      <w:iCs/>
      <w:color w:val="000000"/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1"/>
    </w:pPr>
    <w:rPr>
      <w:rFonts w:ascii="Times New Roman" w:eastAsia="Arial Unicode MS" w:hAnsi="Times New Roman"/>
      <w:b/>
      <w:bCs/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right"/>
      <w:outlineLvl w:val="2"/>
    </w:pPr>
    <w:rPr>
      <w:b/>
      <w:bCs/>
      <w:u w:val="singl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numrationPV1">
    <w:name w:val="Enumération PV 1"/>
    <w:basedOn w:val="Normal"/>
    <w:next w:val="Normal"/>
    <w:pPr>
      <w:spacing w:before="240"/>
      <w:ind w:left="283" w:hanging="283"/>
      <w:jc w:val="both"/>
    </w:pPr>
    <w:rPr>
      <w:sz w:val="24"/>
    </w:rPr>
  </w:style>
  <w:style w:type="paragraph" w:customStyle="1" w:styleId="EnumrationPV2">
    <w:name w:val="Enumération PV 2"/>
    <w:basedOn w:val="Normal"/>
    <w:next w:val="Normal"/>
    <w:pPr>
      <w:spacing w:before="240"/>
      <w:ind w:left="567" w:hanging="283"/>
      <w:jc w:val="both"/>
    </w:pPr>
    <w:rPr>
      <w:sz w:val="24"/>
    </w:rPr>
  </w:style>
  <w:style w:type="paragraph" w:customStyle="1" w:styleId="EnumrationPV3">
    <w:name w:val="Enumération PV 3"/>
    <w:basedOn w:val="Normal"/>
    <w:next w:val="Normal"/>
    <w:pPr>
      <w:spacing w:before="240"/>
      <w:ind w:left="850" w:hanging="283"/>
      <w:jc w:val="both"/>
    </w:pPr>
    <w:rPr>
      <w:sz w:val="24"/>
    </w:rPr>
  </w:style>
  <w:style w:type="paragraph" w:customStyle="1" w:styleId="NormalPV0">
    <w:name w:val="Normal PV 0"/>
    <w:basedOn w:val="Normal"/>
    <w:pPr>
      <w:spacing w:before="240"/>
      <w:jc w:val="both"/>
    </w:pPr>
    <w:rPr>
      <w:sz w:val="24"/>
    </w:rPr>
  </w:style>
  <w:style w:type="paragraph" w:customStyle="1" w:styleId="NormalPV1">
    <w:name w:val="Normal PV 1"/>
    <w:basedOn w:val="Normal"/>
    <w:pPr>
      <w:spacing w:before="240"/>
      <w:ind w:left="284"/>
      <w:jc w:val="both"/>
    </w:pPr>
    <w:rPr>
      <w:sz w:val="24"/>
    </w:rPr>
  </w:style>
  <w:style w:type="paragraph" w:customStyle="1" w:styleId="NormalPV2">
    <w:name w:val="Normal PV 2"/>
    <w:basedOn w:val="Normal"/>
    <w:pPr>
      <w:spacing w:before="240"/>
      <w:ind w:left="567"/>
      <w:jc w:val="both"/>
    </w:pPr>
    <w:rPr>
      <w:sz w:val="24"/>
    </w:rPr>
  </w:style>
  <w:style w:type="paragraph" w:customStyle="1" w:styleId="NormalPV3">
    <w:name w:val="Normal PV 3"/>
    <w:basedOn w:val="Normal"/>
    <w:pPr>
      <w:spacing w:before="240"/>
      <w:ind w:left="851"/>
      <w:jc w:val="both"/>
    </w:pPr>
    <w:rPr>
      <w:sz w:val="24"/>
    </w:rPr>
  </w:style>
  <w:style w:type="paragraph" w:customStyle="1" w:styleId="TitrePV">
    <w:name w:val="Titre PV"/>
    <w:basedOn w:val="Normal"/>
    <w:next w:val="NormalPV0"/>
    <w:pPr>
      <w:spacing w:after="480"/>
      <w:jc w:val="center"/>
    </w:pPr>
    <w:rPr>
      <w:b/>
      <w:caps/>
      <w:sz w:val="24"/>
    </w:rPr>
  </w:style>
  <w:style w:type="paragraph" w:customStyle="1" w:styleId="TitrePV0">
    <w:name w:val="Titre PV 0"/>
    <w:basedOn w:val="Normal"/>
    <w:next w:val="NormalPV0"/>
    <w:pPr>
      <w:spacing w:before="480"/>
      <w:jc w:val="both"/>
    </w:pPr>
    <w:rPr>
      <w:b/>
      <w:caps/>
      <w:sz w:val="24"/>
    </w:rPr>
  </w:style>
  <w:style w:type="paragraph" w:customStyle="1" w:styleId="TitrePV1">
    <w:name w:val="Titre PV 1"/>
    <w:basedOn w:val="Normal"/>
    <w:next w:val="NormalPV1"/>
    <w:pPr>
      <w:spacing w:before="240"/>
      <w:ind w:left="283" w:hanging="283"/>
      <w:jc w:val="both"/>
    </w:pPr>
    <w:rPr>
      <w:b/>
      <w:sz w:val="24"/>
    </w:rPr>
  </w:style>
  <w:style w:type="paragraph" w:customStyle="1" w:styleId="TitrePV2">
    <w:name w:val="Titre PV 2"/>
    <w:basedOn w:val="Normal"/>
    <w:next w:val="NormalPV2"/>
    <w:pPr>
      <w:spacing w:before="240"/>
      <w:ind w:left="567" w:hanging="283"/>
      <w:jc w:val="both"/>
    </w:pPr>
    <w:rPr>
      <w:sz w:val="24"/>
    </w:rPr>
  </w:style>
  <w:style w:type="paragraph" w:customStyle="1" w:styleId="TitrePV3">
    <w:name w:val="Titre PV 3"/>
    <w:basedOn w:val="Normal"/>
    <w:next w:val="NormalPV3"/>
    <w:pPr>
      <w:spacing w:before="240"/>
      <w:ind w:left="850" w:hanging="283"/>
      <w:jc w:val="both"/>
    </w:pPr>
    <w:rPr>
      <w:sz w:val="24"/>
    </w:rPr>
  </w:style>
  <w:style w:type="paragraph" w:customStyle="1" w:styleId="DATE">
    <w:name w:val="DATE"/>
    <w:pPr>
      <w:keepNext/>
      <w:keepLines/>
      <w:overflowPunct w:val="0"/>
      <w:autoSpaceDE w:val="0"/>
      <w:autoSpaceDN w:val="0"/>
      <w:adjustRightInd w:val="0"/>
      <w:spacing w:before="240" w:line="240" w:lineRule="exact"/>
      <w:ind w:left="4536" w:right="567"/>
      <w:jc w:val="both"/>
      <w:textAlignment w:val="baseline"/>
    </w:pPr>
    <w:rPr>
      <w:rFonts w:ascii="ZapfHumanist" w:hAnsi="ZapfHumanist"/>
    </w:rPr>
  </w:style>
  <w:style w:type="paragraph" w:styleId="En-tte">
    <w:name w:val="header"/>
    <w:basedOn w:val="Normal"/>
    <w:link w:val="En-tteCar"/>
    <w:uiPriority w:val="99"/>
    <w:semiHidden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character" w:styleId="Numrodepage">
    <w:name w:val="page number"/>
    <w:basedOn w:val="Policepardfaut"/>
    <w:semiHidden/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ind w:right="-1"/>
      <w:jc w:val="both"/>
    </w:pPr>
  </w:style>
  <w:style w:type="paragraph" w:styleId="Date0">
    <w:name w:val="Date"/>
    <w:semiHidden/>
    <w:pPr>
      <w:keepNext/>
      <w:keepLines/>
      <w:overflowPunct w:val="0"/>
      <w:autoSpaceDE w:val="0"/>
      <w:autoSpaceDN w:val="0"/>
      <w:adjustRightInd w:val="0"/>
      <w:spacing w:before="240" w:line="240" w:lineRule="atLeast"/>
      <w:ind w:left="4536" w:right="567"/>
      <w:jc w:val="both"/>
    </w:pPr>
    <w:rPr>
      <w:rFonts w:ascii="ZapfHumanist" w:hAnsi="ZapfHumanist"/>
    </w:rPr>
  </w:style>
  <w:style w:type="character" w:styleId="Lienhypertexte">
    <w:name w:val="Hyperlink"/>
    <w:semiHidden/>
    <w:rPr>
      <w:color w:val="0000FF"/>
      <w:u w:val="single"/>
    </w:rPr>
  </w:style>
  <w:style w:type="paragraph" w:styleId="Corpsdetexte2">
    <w:name w:val="Body Text 2"/>
    <w:basedOn w:val="Normal"/>
    <w:semiHidden/>
    <w:pPr>
      <w:tabs>
        <w:tab w:val="left" w:pos="1134"/>
      </w:tabs>
      <w:spacing w:before="240"/>
      <w:jc w:val="both"/>
    </w:pPr>
  </w:style>
  <w:style w:type="paragraph" w:customStyle="1" w:styleId="CD22">
    <w:name w:val="CD22"/>
    <w:rPr>
      <w:sz w:val="24"/>
      <w:szCs w:val="24"/>
    </w:rPr>
  </w:style>
  <w:style w:type="paragraph" w:styleId="Adressedestinataire">
    <w:name w:val="envelope address"/>
    <w:basedOn w:val="Normal"/>
    <w:semiHidden/>
    <w:pPr>
      <w:framePr w:w="7938" w:h="1985" w:hRule="exact" w:hSpace="141" w:wrap="auto" w:hAnchor="page" w:xAlign="center" w:yAlign="bottom"/>
      <w:ind w:left="2835"/>
    </w:pPr>
    <w:rPr>
      <w:rFonts w:cs="Arial"/>
      <w:sz w:val="24"/>
      <w:szCs w:val="24"/>
    </w:rPr>
  </w:style>
  <w:style w:type="paragraph" w:styleId="Adresseexpditeur">
    <w:name w:val="envelope return"/>
    <w:basedOn w:val="Normal"/>
    <w:semiHidden/>
    <w:pPr>
      <w:overflowPunct/>
      <w:autoSpaceDE/>
      <w:autoSpaceDN/>
      <w:adjustRightInd/>
      <w:textAlignment w:val="auto"/>
    </w:pPr>
    <w:rPr>
      <w:rFonts w:cs="Arial"/>
      <w:sz w:val="20"/>
    </w:rPr>
  </w:style>
  <w:style w:type="character" w:styleId="Lienhypertextesuivivisit">
    <w:name w:val="FollowedHyperlink"/>
    <w:semiHidden/>
    <w:rPr>
      <w:color w:val="800080"/>
      <w:u w:val="single"/>
    </w:rPr>
  </w:style>
  <w:style w:type="paragraph" w:customStyle="1" w:styleId="CD43">
    <w:name w:val="CD43"/>
    <w:pPr>
      <w:keepNext/>
      <w:keepLines/>
      <w:overflowPunct w:val="0"/>
      <w:autoSpaceDE w:val="0"/>
      <w:autoSpaceDN w:val="0"/>
      <w:adjustRightInd w:val="0"/>
      <w:spacing w:before="240" w:line="240" w:lineRule="exact"/>
      <w:ind w:left="4536" w:right="567"/>
      <w:jc w:val="both"/>
      <w:textAlignment w:val="baseline"/>
    </w:pPr>
    <w:rPr>
      <w:rFonts w:ascii="ZapfHumanist" w:hAnsi="ZapfHumanist"/>
    </w:rPr>
  </w:style>
  <w:style w:type="paragraph" w:styleId="NormalWeb">
    <w:name w:val="Normal (Web)"/>
    <w:basedOn w:val="Normal"/>
    <w:semiHidden/>
    <w:pPr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17"/>
      <w:szCs w:val="17"/>
    </w:rPr>
  </w:style>
  <w:style w:type="paragraph" w:customStyle="1" w:styleId="spip">
    <w:name w:val="spip"/>
    <w:basedOn w:val="Normal"/>
    <w:pPr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17"/>
      <w:szCs w:val="17"/>
    </w:rPr>
  </w:style>
  <w:style w:type="paragraph" w:styleId="Titre">
    <w:name w:val="Title"/>
    <w:basedOn w:val="Normal"/>
    <w:qFormat/>
    <w:pPr>
      <w:jc w:val="center"/>
    </w:pPr>
    <w:rPr>
      <w:sz w:val="56"/>
    </w:rPr>
  </w:style>
  <w:style w:type="character" w:customStyle="1" w:styleId="En-tteCar">
    <w:name w:val="En-tête Car"/>
    <w:link w:val="En-tte"/>
    <w:uiPriority w:val="99"/>
    <w:semiHidden/>
    <w:rsid w:val="007814AC"/>
    <w:rPr>
      <w:sz w:val="24"/>
      <w:szCs w:val="24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1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1350</Characters>
  <Application>Microsoft Office Word</Application>
  <DocSecurity>4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Erreur</vt:lpstr>
      <vt:lpstr>Erreur</vt:lpstr>
    </vt:vector>
  </TitlesOfParts>
  <Company>CNOM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Erreur</dc:title>
  <dc:subject/>
  <dc:creator>CNOM</dc:creator>
  <cp:keywords/>
  <cp:lastModifiedBy>Compte Microsoft</cp:lastModifiedBy>
  <cp:revision>2</cp:revision>
  <cp:lastPrinted>2018-07-05T08:30:00Z</cp:lastPrinted>
  <dcterms:created xsi:type="dcterms:W3CDTF">2021-11-04T21:07:00Z</dcterms:created>
  <dcterms:modified xsi:type="dcterms:W3CDTF">2021-11-04T21:07:00Z</dcterms:modified>
</cp:coreProperties>
</file>