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2A9" w:rsidRDefault="00C362A9">
      <w:pPr>
        <w:jc w:val="center"/>
        <w:rPr>
          <w:b/>
        </w:rPr>
      </w:pPr>
    </w:p>
    <w:p w:rsidR="00C362A9" w:rsidRDefault="00C362A9">
      <w:pPr>
        <w:jc w:val="center"/>
        <w:rPr>
          <w:b/>
        </w:rPr>
      </w:pPr>
    </w:p>
    <w:p w:rsidR="009F0A96" w:rsidRDefault="002A3B57">
      <w:pPr>
        <w:jc w:val="center"/>
        <w:rPr>
          <w:b/>
        </w:rPr>
      </w:pPr>
      <w:r w:rsidRPr="007D1E3B">
        <w:rPr>
          <w:b/>
        </w:rPr>
        <w:t>ASSOCIATION</w:t>
      </w:r>
      <w:r w:rsidR="0056144D">
        <w:rPr>
          <w:b/>
        </w:rPr>
        <w:t xml:space="preserve"> POLE SANTE PLURIDISCIPLINAIRE PARIS-EST</w:t>
      </w:r>
    </w:p>
    <w:p w:rsidR="009F0A96" w:rsidRDefault="0056144D" w:rsidP="00F67BC8">
      <w:pPr>
        <w:jc w:val="center"/>
        <w:rPr>
          <w:b/>
        </w:rPr>
      </w:pPr>
      <w:r>
        <w:rPr>
          <w:b/>
        </w:rPr>
        <w:t>188 Grande Rue Charles de Gaulle</w:t>
      </w:r>
    </w:p>
    <w:p w:rsidR="0056144D" w:rsidRDefault="0056144D" w:rsidP="00F67BC8">
      <w:pPr>
        <w:jc w:val="center"/>
        <w:rPr>
          <w:b/>
        </w:rPr>
      </w:pPr>
      <w:r>
        <w:rPr>
          <w:b/>
        </w:rPr>
        <w:t>94130 Nogent sur  Marne</w:t>
      </w:r>
    </w:p>
    <w:p w:rsidR="0056144D" w:rsidRDefault="0056144D" w:rsidP="00F67BC8">
      <w:pPr>
        <w:jc w:val="center"/>
        <w:rPr>
          <w:b/>
        </w:rPr>
      </w:pPr>
    </w:p>
    <w:p w:rsidR="0056144D" w:rsidRDefault="0056144D" w:rsidP="00F67BC8">
      <w:pPr>
        <w:jc w:val="center"/>
        <w:rPr>
          <w:b/>
        </w:rPr>
      </w:pPr>
      <w:r>
        <w:rPr>
          <w:b/>
        </w:rPr>
        <w:t>EXERCICE CLOS AU 31/12/2020</w:t>
      </w:r>
    </w:p>
    <w:p w:rsidR="00F67BC8" w:rsidRPr="007D1E3B" w:rsidRDefault="00F67BC8" w:rsidP="00F67BC8">
      <w:pPr>
        <w:jc w:val="center"/>
        <w:rPr>
          <w:b/>
        </w:rPr>
      </w:pPr>
    </w:p>
    <w:p w:rsidR="00F67BC8" w:rsidRDefault="00F67BC8" w:rsidP="002A3B57">
      <w:pPr>
        <w:jc w:val="center"/>
        <w:rPr>
          <w:b/>
          <w:i/>
        </w:rPr>
      </w:pPr>
    </w:p>
    <w:p w:rsidR="00420965" w:rsidRDefault="00420965" w:rsidP="00420965"/>
    <w:p w:rsidR="00420965" w:rsidRDefault="00420965" w:rsidP="00420965"/>
    <w:p w:rsidR="00420965" w:rsidRDefault="00420965" w:rsidP="00420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ANNEXE</w:t>
      </w:r>
    </w:p>
    <w:p w:rsidR="00420965" w:rsidRDefault="00420965" w:rsidP="00420965"/>
    <w:p w:rsidR="00420965" w:rsidRPr="001E181D" w:rsidRDefault="001E181D">
      <w:pPr>
        <w:rPr>
          <w:b/>
          <w:bCs/>
        </w:rPr>
      </w:pPr>
      <w:r w:rsidRPr="001E181D">
        <w:rPr>
          <w:b/>
          <w:bCs/>
        </w:rPr>
        <w:t>Activité de l’exercice :</w:t>
      </w:r>
      <w:bookmarkStart w:id="0" w:name="_GoBack"/>
      <w:bookmarkEnd w:id="0"/>
    </w:p>
    <w:p w:rsidR="001E181D" w:rsidRDefault="001E181D"/>
    <w:p w:rsidR="001E181D" w:rsidRDefault="001E181D">
      <w:r>
        <w:t>L’activité de l’Association</w:t>
      </w:r>
      <w:r w:rsidR="001B7D52">
        <w:t xml:space="preserve"> vise à permettre, à terme, le recrutement</w:t>
      </w:r>
      <w:r w:rsidR="000726FC">
        <w:t xml:space="preserve"> de médecins ; en effet, ceux-ci recherchent de plus en plus souvent un statut de salarié ou de remplaçant, plutôt qu’un exercice en libéral.</w:t>
      </w:r>
    </w:p>
    <w:p w:rsidR="000726FC" w:rsidRDefault="000726FC"/>
    <w:p w:rsidR="0026739C" w:rsidRDefault="000726FC">
      <w:r>
        <w:t>En conséquence, l’Association poursuit l’activité prévue et se réoriente progressivement</w:t>
      </w:r>
      <w:r w:rsidR="0026739C">
        <w:t xml:space="preserve"> vers l’innovation sociale (aspects médico-psycho-sociaux), en direction notamment des proches aidants</w:t>
      </w:r>
      <w:r w:rsidR="0092165C">
        <w:t xml:space="preserve"> ; également, développement de programmes personnalisés de revitalisation, grâce à la </w:t>
      </w:r>
      <w:proofErr w:type="gramStart"/>
      <w:r w:rsidR="0092165C">
        <w:t>coordination</w:t>
      </w:r>
      <w:proofErr w:type="gramEnd"/>
      <w:r w:rsidR="0092165C">
        <w:t xml:space="preserve"> de soins, de dispositifs médicaux ciblés, et à l’Activité Physique Adaptée.</w:t>
      </w:r>
    </w:p>
    <w:p w:rsidR="00420965" w:rsidRDefault="00420965"/>
    <w:p w:rsidR="0056144D" w:rsidRDefault="0056144D"/>
    <w:p w:rsidR="0056144D" w:rsidRDefault="0056144D"/>
    <w:p w:rsidR="009F0A96" w:rsidRDefault="00F934A9" w:rsidP="00F934A9">
      <w:pPr>
        <w:jc w:val="both"/>
      </w:pPr>
      <w:r w:rsidRPr="0057333A">
        <w:rPr>
          <w:b/>
        </w:rPr>
        <w:t xml:space="preserve">Aux comptes annuels de </w:t>
      </w:r>
      <w:r w:rsidR="0056144D" w:rsidRPr="0057333A">
        <w:rPr>
          <w:b/>
        </w:rPr>
        <w:t>l’exercice clos le 31 décembre 2020</w:t>
      </w:r>
      <w:r w:rsidRPr="0057333A">
        <w:rPr>
          <w:b/>
        </w:rPr>
        <w:t>, caractérisés par les données suivantes</w:t>
      </w:r>
      <w:r>
        <w:t> :</w:t>
      </w:r>
    </w:p>
    <w:p w:rsidR="00F934A9" w:rsidRDefault="00F934A9" w:rsidP="00F934A9">
      <w:pPr>
        <w:jc w:val="both"/>
      </w:pPr>
    </w:p>
    <w:p w:rsidR="00F934A9" w:rsidRDefault="00F934A9" w:rsidP="002A1DD0">
      <w:pPr>
        <w:numPr>
          <w:ilvl w:val="0"/>
          <w:numId w:val="19"/>
        </w:numPr>
        <w:tabs>
          <w:tab w:val="clear" w:pos="720"/>
          <w:tab w:val="num" w:pos="1260"/>
          <w:tab w:val="decimal" w:pos="7920"/>
        </w:tabs>
        <w:ind w:left="1260"/>
        <w:jc w:val="both"/>
      </w:pPr>
      <w:r>
        <w:t xml:space="preserve">Total du </w:t>
      </w:r>
      <w:r w:rsidR="004E4507">
        <w:t>b</w:t>
      </w:r>
      <w:r w:rsidR="0056144D">
        <w:t xml:space="preserve">ilan </w:t>
      </w:r>
      <w:r w:rsidR="0056144D">
        <w:tab/>
        <w:t xml:space="preserve">11 996 </w:t>
      </w:r>
      <w:r>
        <w:t>€</w:t>
      </w:r>
    </w:p>
    <w:p w:rsidR="00F934A9" w:rsidRDefault="00F934A9" w:rsidP="002A1DD0">
      <w:pPr>
        <w:numPr>
          <w:ilvl w:val="0"/>
          <w:numId w:val="19"/>
        </w:numPr>
        <w:tabs>
          <w:tab w:val="clear" w:pos="720"/>
          <w:tab w:val="num" w:pos="1260"/>
          <w:tab w:val="decimal" w:pos="7920"/>
        </w:tabs>
        <w:ind w:left="1260"/>
        <w:jc w:val="both"/>
      </w:pPr>
      <w:r>
        <w:t xml:space="preserve">Total du compte de résultat </w:t>
      </w:r>
      <w:r w:rsidR="0056144D">
        <w:rPr>
          <w:i/>
        </w:rPr>
        <w:t>(Charges</w:t>
      </w:r>
      <w:r w:rsidR="00233D94" w:rsidRPr="00233D94">
        <w:rPr>
          <w:i/>
        </w:rPr>
        <w:t>)</w:t>
      </w:r>
      <w:r>
        <w:tab/>
      </w:r>
      <w:r w:rsidR="0057333A">
        <w:t>415</w:t>
      </w:r>
      <w:r w:rsidR="0056144D">
        <w:t xml:space="preserve"> </w:t>
      </w:r>
      <w:r>
        <w:t>€</w:t>
      </w:r>
    </w:p>
    <w:p w:rsidR="00F934A9" w:rsidRDefault="00F934A9" w:rsidP="002A1DD0">
      <w:pPr>
        <w:numPr>
          <w:ilvl w:val="0"/>
          <w:numId w:val="19"/>
        </w:numPr>
        <w:tabs>
          <w:tab w:val="clear" w:pos="720"/>
          <w:tab w:val="num" w:pos="1260"/>
          <w:tab w:val="decimal" w:pos="7920"/>
        </w:tabs>
        <w:ind w:left="1260"/>
        <w:jc w:val="both"/>
      </w:pPr>
      <w:r>
        <w:t xml:space="preserve">Résultat de l’exercice </w:t>
      </w:r>
      <w:r w:rsidR="0056144D">
        <w:rPr>
          <w:i/>
        </w:rPr>
        <w:t>(</w:t>
      </w:r>
      <w:r w:rsidR="00233D94" w:rsidRPr="00233D94">
        <w:rPr>
          <w:i/>
        </w:rPr>
        <w:t>Déficit)</w:t>
      </w:r>
      <w:r>
        <w:tab/>
      </w:r>
      <w:r w:rsidR="0057333A">
        <w:t xml:space="preserve">415 </w:t>
      </w:r>
      <w:r>
        <w:t>€</w:t>
      </w:r>
    </w:p>
    <w:p w:rsidR="00F934A9" w:rsidRDefault="00F934A9" w:rsidP="00F934A9">
      <w:pPr>
        <w:jc w:val="both"/>
      </w:pPr>
    </w:p>
    <w:p w:rsidR="00F934A9" w:rsidRDefault="00F934A9" w:rsidP="00F934A9">
      <w:pPr>
        <w:jc w:val="both"/>
      </w:pPr>
      <w:r>
        <w:t>L’exercice a une durée de 12 mois, recouvrant la période du 1</w:t>
      </w:r>
      <w:r w:rsidRPr="00F934A9">
        <w:rPr>
          <w:vertAlign w:val="superscript"/>
        </w:rPr>
        <w:t>er</w:t>
      </w:r>
      <w:r>
        <w:t xml:space="preserve"> </w:t>
      </w:r>
      <w:r w:rsidR="00557A6B">
        <w:t xml:space="preserve">janvier </w:t>
      </w:r>
      <w:r w:rsidR="0057333A">
        <w:t>2020</w:t>
      </w:r>
      <w:r>
        <w:t xml:space="preserve"> au 31 </w:t>
      </w:r>
      <w:r w:rsidR="00557A6B">
        <w:t xml:space="preserve">décembre </w:t>
      </w:r>
      <w:r w:rsidR="0057333A">
        <w:t>2020</w:t>
      </w:r>
      <w:r>
        <w:t>.</w:t>
      </w:r>
    </w:p>
    <w:p w:rsidR="00F934A9" w:rsidRDefault="00F934A9" w:rsidP="00F934A9">
      <w:pPr>
        <w:jc w:val="both"/>
      </w:pPr>
    </w:p>
    <w:p w:rsidR="00F934A9" w:rsidRPr="0057333A" w:rsidRDefault="00F934A9" w:rsidP="00F934A9">
      <w:pPr>
        <w:jc w:val="both"/>
      </w:pPr>
      <w:r>
        <w:t>Les notes et tableaux ci-après font partie intégrante des comptes annuels</w:t>
      </w:r>
      <w:r w:rsidR="002A3B57">
        <w:t xml:space="preserve"> arrêté par </w:t>
      </w:r>
      <w:r w:rsidR="002A3B57" w:rsidRPr="0057333A">
        <w:t>le Conseil d’</w:t>
      </w:r>
      <w:r w:rsidR="003B1B25" w:rsidRPr="0057333A">
        <w:t>Administration de l’Association</w:t>
      </w:r>
      <w:r w:rsidR="00420965" w:rsidRPr="0057333A">
        <w:t xml:space="preserve"> </w:t>
      </w:r>
      <w:r w:rsidR="0057333A" w:rsidRPr="0057333A">
        <w:t>en date du 31/12/2020</w:t>
      </w:r>
    </w:p>
    <w:p w:rsidR="00F934A9" w:rsidRDefault="00F934A9" w:rsidP="00F934A9">
      <w:pPr>
        <w:jc w:val="both"/>
      </w:pPr>
    </w:p>
    <w:p w:rsidR="00021A3D" w:rsidRDefault="00F67BC8" w:rsidP="00F934A9">
      <w:pPr>
        <w:jc w:val="both"/>
      </w:pPr>
      <w:r>
        <w:t>Les i</w:t>
      </w:r>
      <w:r w:rsidR="00F934A9">
        <w:t xml:space="preserve">nformations </w:t>
      </w:r>
      <w:r>
        <w:t>présentées sont celles ayant une importance s</w:t>
      </w:r>
      <w:r w:rsidR="00F934A9">
        <w:t xml:space="preserve">ignificative et </w:t>
      </w:r>
      <w:r>
        <w:t xml:space="preserve">qui sont </w:t>
      </w:r>
      <w:r w:rsidR="00F934A9">
        <w:t>nécessaire</w:t>
      </w:r>
      <w:r>
        <w:t>s</w:t>
      </w:r>
      <w:r w:rsidR="00F934A9">
        <w:t xml:space="preserve"> à l’obtention de l’image fidèle du patrimoine</w:t>
      </w:r>
      <w:r w:rsidR="0011588C">
        <w:t>,</w:t>
      </w:r>
      <w:r w:rsidR="00F934A9">
        <w:t xml:space="preserve"> de la situation financière et du </w:t>
      </w:r>
    </w:p>
    <w:p w:rsidR="00F934A9" w:rsidRDefault="00F934A9" w:rsidP="00F934A9">
      <w:pPr>
        <w:jc w:val="both"/>
      </w:pPr>
      <w:proofErr w:type="gramStart"/>
      <w:r>
        <w:t>résultat</w:t>
      </w:r>
      <w:proofErr w:type="gramEnd"/>
      <w:r>
        <w:t xml:space="preserve"> de l</w:t>
      </w:r>
      <w:r w:rsidR="0011588C">
        <w:t>’association</w:t>
      </w:r>
      <w:r>
        <w:t>.</w:t>
      </w:r>
    </w:p>
    <w:p w:rsidR="00CA088A" w:rsidRDefault="00CA088A" w:rsidP="00F934A9">
      <w:pPr>
        <w:jc w:val="both"/>
      </w:pPr>
    </w:p>
    <w:p w:rsidR="00021A3D" w:rsidRDefault="00021A3D" w:rsidP="00F934A9">
      <w:pPr>
        <w:jc w:val="both"/>
      </w:pPr>
    </w:p>
    <w:p w:rsidR="004A2786" w:rsidRDefault="004A2786" w:rsidP="004A2786">
      <w:pPr>
        <w:jc w:val="both"/>
      </w:pPr>
    </w:p>
    <w:p w:rsidR="00057A01" w:rsidRDefault="00057A01" w:rsidP="004A2786">
      <w:pPr>
        <w:jc w:val="both"/>
      </w:pPr>
    </w:p>
    <w:p w:rsidR="00057A01" w:rsidRDefault="00057A01" w:rsidP="004A2786">
      <w:pPr>
        <w:jc w:val="both"/>
      </w:pPr>
    </w:p>
    <w:p w:rsidR="00057A01" w:rsidRDefault="00057A01" w:rsidP="004A2786">
      <w:pPr>
        <w:jc w:val="both"/>
      </w:pPr>
    </w:p>
    <w:p w:rsidR="00057A01" w:rsidRDefault="00057A01" w:rsidP="004A2786">
      <w:pPr>
        <w:jc w:val="both"/>
      </w:pPr>
    </w:p>
    <w:p w:rsidR="00057A01" w:rsidRDefault="00057A01" w:rsidP="004A2786">
      <w:pPr>
        <w:jc w:val="both"/>
      </w:pPr>
    </w:p>
    <w:p w:rsidR="00057A01" w:rsidRDefault="00057A01" w:rsidP="004A2786">
      <w:pPr>
        <w:jc w:val="both"/>
      </w:pPr>
    </w:p>
    <w:p w:rsidR="00057A01" w:rsidRDefault="00057A01" w:rsidP="004A2786">
      <w:pPr>
        <w:jc w:val="both"/>
      </w:pPr>
    </w:p>
    <w:p w:rsidR="00057A01" w:rsidRDefault="00057A01" w:rsidP="004A2786">
      <w:pPr>
        <w:jc w:val="both"/>
      </w:pPr>
    </w:p>
    <w:p w:rsidR="00057A01" w:rsidRDefault="00057A01" w:rsidP="004A2786">
      <w:pPr>
        <w:jc w:val="both"/>
      </w:pPr>
    </w:p>
    <w:p w:rsidR="00057A01" w:rsidRDefault="00057A01" w:rsidP="004A2786">
      <w:pPr>
        <w:jc w:val="both"/>
      </w:pPr>
    </w:p>
    <w:p w:rsidR="00F934A9" w:rsidRPr="00F934A9" w:rsidRDefault="00F934A9" w:rsidP="006E2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</w:tabs>
        <w:jc w:val="both"/>
        <w:rPr>
          <w:rFonts w:ascii="Times New Roman Gras" w:hAnsi="Times New Roman Gras"/>
          <w:b/>
          <w:caps/>
        </w:rPr>
      </w:pPr>
      <w:r w:rsidRPr="00F934A9">
        <w:rPr>
          <w:rFonts w:ascii="Times New Roman Gras" w:hAnsi="Times New Roman Gras"/>
          <w:b/>
          <w:caps/>
        </w:rPr>
        <w:t>Règles et méthodes comptables</w:t>
      </w:r>
    </w:p>
    <w:p w:rsidR="00F934A9" w:rsidRDefault="00F934A9" w:rsidP="00F934A9">
      <w:pPr>
        <w:tabs>
          <w:tab w:val="left" w:pos="1800"/>
        </w:tabs>
        <w:jc w:val="both"/>
      </w:pPr>
    </w:p>
    <w:p w:rsidR="004A2786" w:rsidRDefault="004A2786" w:rsidP="00F934A9">
      <w:pPr>
        <w:tabs>
          <w:tab w:val="left" w:pos="1800"/>
        </w:tabs>
        <w:jc w:val="both"/>
      </w:pPr>
    </w:p>
    <w:p w:rsidR="00F934A9" w:rsidRPr="00F934A9" w:rsidRDefault="00F934A9" w:rsidP="004A2786">
      <w:pPr>
        <w:numPr>
          <w:ilvl w:val="0"/>
          <w:numId w:val="20"/>
        </w:numPr>
        <w:tabs>
          <w:tab w:val="clear" w:pos="720"/>
          <w:tab w:val="num" w:pos="426"/>
          <w:tab w:val="left" w:pos="1800"/>
        </w:tabs>
        <w:ind w:left="426" w:hanging="426"/>
        <w:jc w:val="both"/>
        <w:rPr>
          <w:rFonts w:ascii="Times New Roman Gras" w:hAnsi="Times New Roman Gras"/>
          <w:b/>
          <w:smallCaps/>
        </w:rPr>
      </w:pPr>
      <w:r w:rsidRPr="00F934A9">
        <w:rPr>
          <w:rFonts w:ascii="Times New Roman Gras" w:hAnsi="Times New Roman Gras"/>
          <w:b/>
          <w:smallCaps/>
        </w:rPr>
        <w:t>Principes comptables</w:t>
      </w:r>
    </w:p>
    <w:p w:rsidR="00F934A9" w:rsidRDefault="00F934A9" w:rsidP="00F934A9">
      <w:pPr>
        <w:tabs>
          <w:tab w:val="left" w:pos="1800"/>
        </w:tabs>
        <w:jc w:val="both"/>
      </w:pPr>
    </w:p>
    <w:p w:rsidR="006E2F44" w:rsidRDefault="00F934A9" w:rsidP="004A2786">
      <w:pPr>
        <w:tabs>
          <w:tab w:val="left" w:pos="1800"/>
        </w:tabs>
        <w:ind w:left="426"/>
        <w:jc w:val="both"/>
      </w:pPr>
      <w:r>
        <w:t xml:space="preserve">Les comptes annuels de l’exercice </w:t>
      </w:r>
      <w:r w:rsidR="00CF7CC5">
        <w:t>clos le 31 décembre 2020</w:t>
      </w:r>
      <w:r w:rsidR="00557A6B">
        <w:t xml:space="preserve"> </w:t>
      </w:r>
      <w:r>
        <w:t xml:space="preserve">ont été élaborés et présentés conformément aux règles générales </w:t>
      </w:r>
      <w:r w:rsidR="006E2F44">
        <w:t>applicables</w:t>
      </w:r>
      <w:r>
        <w:t xml:space="preserve">, </w:t>
      </w:r>
      <w:r w:rsidR="006E2F44">
        <w:t xml:space="preserve">dans le respect du principe de prudence, conformément aux hypothèses de base suivantes : </w:t>
      </w:r>
    </w:p>
    <w:p w:rsidR="006E2F44" w:rsidRDefault="006E2F44" w:rsidP="006E2F44">
      <w:pPr>
        <w:tabs>
          <w:tab w:val="left" w:pos="1800"/>
        </w:tabs>
        <w:ind w:left="360"/>
        <w:jc w:val="both"/>
      </w:pPr>
    </w:p>
    <w:p w:rsidR="00F934A9" w:rsidRDefault="00AF5DDB" w:rsidP="004A2786">
      <w:pPr>
        <w:numPr>
          <w:ilvl w:val="1"/>
          <w:numId w:val="20"/>
        </w:numPr>
        <w:tabs>
          <w:tab w:val="clear" w:pos="1440"/>
          <w:tab w:val="num" w:pos="851"/>
        </w:tabs>
        <w:ind w:left="851" w:hanging="426"/>
        <w:jc w:val="both"/>
      </w:pPr>
      <w:r>
        <w:t>continuité de l’exploitation,</w:t>
      </w:r>
    </w:p>
    <w:p w:rsidR="006E2F44" w:rsidRDefault="006E2F44" w:rsidP="004A2786">
      <w:pPr>
        <w:numPr>
          <w:ilvl w:val="1"/>
          <w:numId w:val="20"/>
        </w:numPr>
        <w:tabs>
          <w:tab w:val="clear" w:pos="1440"/>
          <w:tab w:val="num" w:pos="851"/>
        </w:tabs>
        <w:ind w:left="851" w:hanging="426"/>
        <w:jc w:val="both"/>
      </w:pPr>
      <w:r>
        <w:t>permanence des méthodes comptables d’un exercice à l’autre</w:t>
      </w:r>
      <w:r w:rsidR="00AF5DDB">
        <w:t>,</w:t>
      </w:r>
    </w:p>
    <w:p w:rsidR="006E2F44" w:rsidRDefault="00AF5DDB" w:rsidP="004A2786">
      <w:pPr>
        <w:numPr>
          <w:ilvl w:val="1"/>
          <w:numId w:val="20"/>
        </w:numPr>
        <w:tabs>
          <w:tab w:val="clear" w:pos="1440"/>
          <w:tab w:val="num" w:pos="851"/>
        </w:tabs>
        <w:ind w:left="851" w:hanging="426"/>
        <w:jc w:val="both"/>
      </w:pPr>
      <w:r>
        <w:t>indépendance des exercices.</w:t>
      </w:r>
    </w:p>
    <w:p w:rsidR="00BA2B21" w:rsidRDefault="00BA2B21" w:rsidP="00296C0F">
      <w:pPr>
        <w:tabs>
          <w:tab w:val="left" w:pos="1800"/>
        </w:tabs>
        <w:ind w:left="1080"/>
        <w:jc w:val="both"/>
      </w:pPr>
    </w:p>
    <w:p w:rsidR="006E2F44" w:rsidRDefault="006E2F44" w:rsidP="006E2F44">
      <w:pPr>
        <w:tabs>
          <w:tab w:val="left" w:pos="1800"/>
        </w:tabs>
        <w:ind w:left="360"/>
        <w:jc w:val="both"/>
      </w:pPr>
      <w:r>
        <w:t>L’évaluation des éléments inscrits en comptabilité a été pratiquée par référence à la méthode des coûts historiques.</w:t>
      </w:r>
    </w:p>
    <w:p w:rsidR="006E2F44" w:rsidRDefault="006E2F44" w:rsidP="006E2F44">
      <w:pPr>
        <w:tabs>
          <w:tab w:val="left" w:pos="1800"/>
        </w:tabs>
        <w:ind w:left="360"/>
        <w:jc w:val="both"/>
      </w:pPr>
    </w:p>
    <w:p w:rsidR="006E2F44" w:rsidRDefault="00F67BC8" w:rsidP="006E2F44">
      <w:pPr>
        <w:tabs>
          <w:tab w:val="left" w:pos="1800"/>
        </w:tabs>
        <w:ind w:left="360"/>
        <w:jc w:val="both"/>
      </w:pPr>
      <w:r>
        <w:t xml:space="preserve">Les comptes annuels ont été </w:t>
      </w:r>
      <w:r w:rsidR="00510344">
        <w:t>arrêtés</w:t>
      </w:r>
      <w:r>
        <w:t xml:space="preserve"> conformément au plan comptable général</w:t>
      </w:r>
      <w:r w:rsidR="00981E1E">
        <w:t xml:space="preserve">, règlement </w:t>
      </w:r>
      <w:r w:rsidR="00A10447">
        <w:t xml:space="preserve">2014-03 </w:t>
      </w:r>
      <w:r w:rsidR="00AB52C4">
        <w:t xml:space="preserve">et suivants </w:t>
      </w:r>
      <w:r w:rsidR="00A10447">
        <w:t>de l’Autorité des Normes Comptables</w:t>
      </w:r>
      <w:r>
        <w:t xml:space="preserve"> en tenant compte des </w:t>
      </w:r>
      <w:r w:rsidR="00510344">
        <w:t>dispositions</w:t>
      </w:r>
      <w:r>
        <w:t xml:space="preserve"> réglementaires suivantes</w:t>
      </w:r>
      <w:r w:rsidR="004A2786">
        <w:rPr>
          <w:rStyle w:val="Appelnotedebasdep"/>
        </w:rPr>
        <w:footnoteReference w:id="1"/>
      </w:r>
      <w:r>
        <w:t xml:space="preserve"> : </w:t>
      </w:r>
    </w:p>
    <w:p w:rsidR="006E2F44" w:rsidRDefault="006E2F44" w:rsidP="006E2F44">
      <w:pPr>
        <w:tabs>
          <w:tab w:val="left" w:pos="1800"/>
        </w:tabs>
        <w:ind w:left="360"/>
        <w:jc w:val="both"/>
      </w:pPr>
    </w:p>
    <w:p w:rsidR="008D5565" w:rsidRDefault="008D5565" w:rsidP="004A2786">
      <w:pPr>
        <w:numPr>
          <w:ilvl w:val="0"/>
          <w:numId w:val="24"/>
        </w:numPr>
        <w:tabs>
          <w:tab w:val="clear" w:pos="1080"/>
          <w:tab w:val="num" w:pos="851"/>
          <w:tab w:val="left" w:pos="1800"/>
        </w:tabs>
        <w:spacing w:after="120"/>
        <w:ind w:left="850" w:hanging="425"/>
        <w:jc w:val="both"/>
      </w:pPr>
      <w:r>
        <w:t>du règlement 99-01 du CRC relatif aux modalités d’établissement des comptes annuels des associations et fondations ;</w:t>
      </w:r>
    </w:p>
    <w:p w:rsidR="004A2786" w:rsidRDefault="004A2786" w:rsidP="004A2786">
      <w:pPr>
        <w:numPr>
          <w:ilvl w:val="0"/>
          <w:numId w:val="24"/>
        </w:numPr>
        <w:tabs>
          <w:tab w:val="clear" w:pos="1080"/>
          <w:tab w:val="num" w:pos="851"/>
          <w:tab w:val="left" w:pos="1800"/>
        </w:tabs>
        <w:spacing w:after="120"/>
        <w:ind w:left="850" w:hanging="425"/>
        <w:jc w:val="both"/>
      </w:pPr>
      <w:r>
        <w:t>de la nomenclature M22 applicable aux établissements et services publics sociaux et médico-sociaux communaux intercommunaux, départementaux et interdépartementaux ;</w:t>
      </w:r>
    </w:p>
    <w:p w:rsidR="008D5565" w:rsidRDefault="00A6325C" w:rsidP="004A2786">
      <w:pPr>
        <w:numPr>
          <w:ilvl w:val="0"/>
          <w:numId w:val="24"/>
        </w:numPr>
        <w:tabs>
          <w:tab w:val="clear" w:pos="1080"/>
          <w:tab w:val="num" w:pos="851"/>
        </w:tabs>
        <w:spacing w:after="120"/>
        <w:ind w:left="850" w:hanging="425"/>
        <w:jc w:val="both"/>
      </w:pPr>
      <w:r>
        <w:t>D</w:t>
      </w:r>
      <w:r w:rsidR="008D5565">
        <w:t>e</w:t>
      </w:r>
      <w:r w:rsidR="00165BB5">
        <w:t>s</w:t>
      </w:r>
      <w:r w:rsidR="008D5565">
        <w:t xml:space="preserve"> arrêté</w:t>
      </w:r>
      <w:r w:rsidR="00165BB5">
        <w:t>s</w:t>
      </w:r>
      <w:r w:rsidR="008D5565">
        <w:t xml:space="preserve"> relatif</w:t>
      </w:r>
      <w:r w:rsidR="00165BB5">
        <w:t>s</w:t>
      </w:r>
      <w:r w:rsidR="008D5565">
        <w:t xml:space="preserve"> aux instructions budgétaires et comptables applicables aux établissement et services privés sociaux et médico-sociaux ainsi qu’aux associations et fondations gestionnaires.</w:t>
      </w:r>
    </w:p>
    <w:p w:rsidR="008D5565" w:rsidRPr="003D5786" w:rsidRDefault="008D5565" w:rsidP="008D5565">
      <w:pPr>
        <w:tabs>
          <w:tab w:val="left" w:pos="1800"/>
        </w:tabs>
        <w:jc w:val="both"/>
      </w:pPr>
    </w:p>
    <w:p w:rsidR="00F934A9" w:rsidRPr="003D5786" w:rsidRDefault="004A2786" w:rsidP="00F934A9">
      <w:pPr>
        <w:tabs>
          <w:tab w:val="left" w:pos="1800"/>
        </w:tabs>
        <w:jc w:val="both"/>
      </w:pPr>
      <w:r>
        <w:br w:type="page"/>
      </w:r>
    </w:p>
    <w:p w:rsidR="00EA7AA0" w:rsidRPr="00510344" w:rsidRDefault="00EA7AA0" w:rsidP="00CF7CC5">
      <w:pPr>
        <w:tabs>
          <w:tab w:val="left" w:pos="1800"/>
        </w:tabs>
        <w:jc w:val="both"/>
        <w:rPr>
          <w:smallCaps/>
        </w:rPr>
      </w:pPr>
    </w:p>
    <w:p w:rsidR="00F934A9" w:rsidRDefault="00F934A9" w:rsidP="00510344">
      <w:pPr>
        <w:tabs>
          <w:tab w:val="left" w:pos="1800"/>
        </w:tabs>
        <w:ind w:left="360"/>
        <w:jc w:val="both"/>
        <w:rPr>
          <w:smallCaps/>
          <w:u w:val="single"/>
        </w:rPr>
      </w:pPr>
      <w:r w:rsidRPr="00510344">
        <w:rPr>
          <w:smallCaps/>
          <w:u w:val="single"/>
        </w:rPr>
        <w:t>Créances et dettes</w:t>
      </w:r>
    </w:p>
    <w:p w:rsidR="00CF7CC5" w:rsidRDefault="00CF7CC5" w:rsidP="00510344">
      <w:pPr>
        <w:tabs>
          <w:tab w:val="left" w:pos="1800"/>
        </w:tabs>
        <w:ind w:left="360"/>
        <w:jc w:val="both"/>
        <w:rPr>
          <w:smallCaps/>
          <w:u w:val="single"/>
        </w:rPr>
      </w:pPr>
    </w:p>
    <w:p w:rsidR="00CF7CC5" w:rsidRPr="00BA713C" w:rsidRDefault="00BA713C" w:rsidP="00021A3D">
      <w:pPr>
        <w:tabs>
          <w:tab w:val="left" w:pos="1800"/>
        </w:tabs>
        <w:ind w:left="426"/>
        <w:jc w:val="both"/>
      </w:pPr>
      <w:r>
        <w:t>Fonds dédiés, versés le 16/04/2020 par</w:t>
      </w:r>
      <w:r w:rsidR="00021A3D">
        <w:t xml:space="preserve"> le</w:t>
      </w:r>
      <w:r>
        <w:t xml:space="preserve"> </w:t>
      </w:r>
      <w:r w:rsidR="00021A3D">
        <w:t>Conseil Régional IDF / Convention Aidants  pour un montant de 12 000 €</w:t>
      </w:r>
    </w:p>
    <w:p w:rsidR="00CF7CC5" w:rsidRPr="00510344" w:rsidRDefault="00CF7CC5" w:rsidP="00510344">
      <w:pPr>
        <w:tabs>
          <w:tab w:val="left" w:pos="1800"/>
        </w:tabs>
        <w:ind w:left="360"/>
        <w:jc w:val="both"/>
        <w:rPr>
          <w:smallCaps/>
          <w:u w:val="single"/>
        </w:rPr>
      </w:pPr>
    </w:p>
    <w:p w:rsidR="00CF7CC5" w:rsidRDefault="00CF7CC5" w:rsidP="00F934A9">
      <w:pPr>
        <w:tabs>
          <w:tab w:val="left" w:pos="1800"/>
        </w:tabs>
        <w:jc w:val="both"/>
      </w:pPr>
    </w:p>
    <w:sectPr w:rsidR="00CF7CC5" w:rsidSect="00CA088A">
      <w:head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330" w:rsidRDefault="00943330">
      <w:r>
        <w:separator/>
      </w:r>
    </w:p>
  </w:endnote>
  <w:endnote w:type="continuationSeparator" w:id="0">
    <w:p w:rsidR="00943330" w:rsidRDefault="0094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Gra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330" w:rsidRDefault="00943330">
      <w:r>
        <w:separator/>
      </w:r>
    </w:p>
  </w:footnote>
  <w:footnote w:type="continuationSeparator" w:id="0">
    <w:p w:rsidR="00943330" w:rsidRDefault="00943330">
      <w:r>
        <w:continuationSeparator/>
      </w:r>
    </w:p>
  </w:footnote>
  <w:footnote w:id="1">
    <w:p w:rsidR="00DD6B33" w:rsidRDefault="00DD6B33">
      <w:pPr>
        <w:pStyle w:val="Notedebasdepage"/>
      </w:pPr>
      <w:r>
        <w:rPr>
          <w:rStyle w:val="Appelnotedebasdep"/>
        </w:rPr>
        <w:footnoteRef/>
      </w:r>
      <w:r>
        <w:t xml:space="preserve"> Attention ceci peut varier d’une association à une autre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3A" w:rsidRDefault="00A27ED1" w:rsidP="004B164C">
    <w:pPr>
      <w:pStyle w:val="En-tte"/>
    </w:pPr>
    <w:r>
      <w:t>Association PSPPE</w:t>
    </w:r>
  </w:p>
  <w:p w:rsidR="00DD6B33" w:rsidRDefault="00DD6B33" w:rsidP="00CA088A">
    <w:pPr>
      <w:pStyle w:val="En-tte"/>
      <w:pBdr>
        <w:bottom w:val="single" w:sz="4" w:space="1" w:color="auto"/>
      </w:pBdr>
      <w:jc w:val="right"/>
    </w:pPr>
    <w:r>
      <w:t>Annexe a</w:t>
    </w:r>
    <w:r w:rsidR="0057333A">
      <w:t>ux comptes annuels au 31/12/2020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080CE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9E5F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6C75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80EF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08E2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D0D1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CC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580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C06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408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C3DD8"/>
    <w:multiLevelType w:val="hybridMultilevel"/>
    <w:tmpl w:val="B68EDF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63677A"/>
    <w:multiLevelType w:val="hybridMultilevel"/>
    <w:tmpl w:val="A570247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966FEC"/>
    <w:multiLevelType w:val="hybridMultilevel"/>
    <w:tmpl w:val="3224EA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C6665C"/>
    <w:multiLevelType w:val="hybridMultilevel"/>
    <w:tmpl w:val="4FE092A0"/>
    <w:lvl w:ilvl="0" w:tplc="040C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D566022"/>
    <w:multiLevelType w:val="hybridMultilevel"/>
    <w:tmpl w:val="5F12D1E2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E8EA9CE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DA81E39"/>
    <w:multiLevelType w:val="hybridMultilevel"/>
    <w:tmpl w:val="8E90ABF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E227D6"/>
    <w:multiLevelType w:val="hybridMultilevel"/>
    <w:tmpl w:val="00F0461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8EA9C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360AFD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161B6D"/>
    <w:multiLevelType w:val="hybridMultilevel"/>
    <w:tmpl w:val="CB9CA4B4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9B3567"/>
    <w:multiLevelType w:val="hybridMultilevel"/>
    <w:tmpl w:val="AB64B594"/>
    <w:lvl w:ilvl="0" w:tplc="D360AF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E8A45D8"/>
    <w:multiLevelType w:val="hybridMultilevel"/>
    <w:tmpl w:val="77FEE39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242CA1"/>
    <w:multiLevelType w:val="hybridMultilevel"/>
    <w:tmpl w:val="23361B7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180E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952175"/>
    <w:multiLevelType w:val="hybridMultilevel"/>
    <w:tmpl w:val="33443B4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F0C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F7492C"/>
    <w:multiLevelType w:val="hybridMultilevel"/>
    <w:tmpl w:val="D37AA7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7B0E7F"/>
    <w:multiLevelType w:val="hybridMultilevel"/>
    <w:tmpl w:val="B59C9D62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2DE32ABC"/>
    <w:multiLevelType w:val="hybridMultilevel"/>
    <w:tmpl w:val="41A6F6A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805044"/>
    <w:multiLevelType w:val="hybridMultilevel"/>
    <w:tmpl w:val="6BFC0630"/>
    <w:lvl w:ilvl="0" w:tplc="8378142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2C22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A3032C"/>
    <w:multiLevelType w:val="hybridMultilevel"/>
    <w:tmpl w:val="A072B36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55C4C58"/>
    <w:multiLevelType w:val="hybridMultilevel"/>
    <w:tmpl w:val="4F8C37DA"/>
    <w:lvl w:ilvl="0" w:tplc="69C8996E">
      <w:start w:val="1"/>
      <w:numFmt w:val="bullet"/>
      <w:lvlText w:val=""/>
      <w:lvlJc w:val="left"/>
      <w:pPr>
        <w:tabs>
          <w:tab w:val="num" w:pos="8244"/>
        </w:tabs>
        <w:ind w:left="82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11">
      <w:start w:val="1"/>
      <w:numFmt w:val="decimal"/>
      <w:lvlText w:val="%4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BB43B83"/>
    <w:multiLevelType w:val="hybridMultilevel"/>
    <w:tmpl w:val="9F54DD44"/>
    <w:lvl w:ilvl="0" w:tplc="1E8EA9C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7B0004"/>
    <w:multiLevelType w:val="hybridMultilevel"/>
    <w:tmpl w:val="F5D8087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F0C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CD357D"/>
    <w:multiLevelType w:val="hybridMultilevel"/>
    <w:tmpl w:val="54D00068"/>
    <w:lvl w:ilvl="0" w:tplc="2C0C1D4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60AF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E4431C"/>
    <w:multiLevelType w:val="multilevel"/>
    <w:tmpl w:val="B302DDA6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5513A3"/>
    <w:multiLevelType w:val="multilevel"/>
    <w:tmpl w:val="EFECBF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3" w15:restartNumberingAfterBreak="0">
    <w:nsid w:val="540B630E"/>
    <w:multiLevelType w:val="hybridMultilevel"/>
    <w:tmpl w:val="08200D4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9F20A5"/>
    <w:multiLevelType w:val="hybridMultilevel"/>
    <w:tmpl w:val="B302DDA6"/>
    <w:lvl w:ilvl="0" w:tplc="2C0C1D4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F6ED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33"/>
  </w:num>
  <w:num w:numId="4">
    <w:abstractNumId w:val="29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3"/>
  </w:num>
  <w:num w:numId="17">
    <w:abstractNumId w:val="17"/>
  </w:num>
  <w:num w:numId="18">
    <w:abstractNumId w:val="10"/>
  </w:num>
  <w:num w:numId="19">
    <w:abstractNumId w:val="34"/>
  </w:num>
  <w:num w:numId="20">
    <w:abstractNumId w:val="16"/>
  </w:num>
  <w:num w:numId="21">
    <w:abstractNumId w:val="24"/>
  </w:num>
  <w:num w:numId="22">
    <w:abstractNumId w:val="19"/>
  </w:num>
  <w:num w:numId="23">
    <w:abstractNumId w:val="20"/>
  </w:num>
  <w:num w:numId="24">
    <w:abstractNumId w:val="28"/>
  </w:num>
  <w:num w:numId="25">
    <w:abstractNumId w:val="25"/>
  </w:num>
  <w:num w:numId="26">
    <w:abstractNumId w:val="23"/>
  </w:num>
  <w:num w:numId="27">
    <w:abstractNumId w:val="14"/>
  </w:num>
  <w:num w:numId="28">
    <w:abstractNumId w:val="26"/>
  </w:num>
  <w:num w:numId="29">
    <w:abstractNumId w:val="27"/>
  </w:num>
  <w:num w:numId="30">
    <w:abstractNumId w:val="31"/>
  </w:num>
  <w:num w:numId="31">
    <w:abstractNumId w:val="30"/>
  </w:num>
  <w:num w:numId="32">
    <w:abstractNumId w:val="32"/>
  </w:num>
  <w:num w:numId="33">
    <w:abstractNumId w:val="18"/>
  </w:num>
  <w:num w:numId="34">
    <w:abstractNumId w:val="2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309"/>
    <w:rsid w:val="00021A3D"/>
    <w:rsid w:val="000524E1"/>
    <w:rsid w:val="00052662"/>
    <w:rsid w:val="00057A01"/>
    <w:rsid w:val="00061A51"/>
    <w:rsid w:val="00071698"/>
    <w:rsid w:val="000726FC"/>
    <w:rsid w:val="00082129"/>
    <w:rsid w:val="00084ED9"/>
    <w:rsid w:val="0008589C"/>
    <w:rsid w:val="000A5B64"/>
    <w:rsid w:val="000B7675"/>
    <w:rsid w:val="000C4A67"/>
    <w:rsid w:val="000E1E93"/>
    <w:rsid w:val="000F0F43"/>
    <w:rsid w:val="0011588C"/>
    <w:rsid w:val="00115CB3"/>
    <w:rsid w:val="001222D5"/>
    <w:rsid w:val="001239CA"/>
    <w:rsid w:val="00133672"/>
    <w:rsid w:val="00157F63"/>
    <w:rsid w:val="00165BB5"/>
    <w:rsid w:val="001A7702"/>
    <w:rsid w:val="001B19C7"/>
    <w:rsid w:val="001B7D52"/>
    <w:rsid w:val="001C1553"/>
    <w:rsid w:val="001C7DC6"/>
    <w:rsid w:val="001E181D"/>
    <w:rsid w:val="001F58AA"/>
    <w:rsid w:val="002057EC"/>
    <w:rsid w:val="00214D59"/>
    <w:rsid w:val="002262EB"/>
    <w:rsid w:val="00227EE5"/>
    <w:rsid w:val="00233D94"/>
    <w:rsid w:val="0023654D"/>
    <w:rsid w:val="00241B2A"/>
    <w:rsid w:val="00242837"/>
    <w:rsid w:val="00253952"/>
    <w:rsid w:val="0026739C"/>
    <w:rsid w:val="00272D46"/>
    <w:rsid w:val="00291764"/>
    <w:rsid w:val="00296C0F"/>
    <w:rsid w:val="002A0C58"/>
    <w:rsid w:val="002A1DD0"/>
    <w:rsid w:val="002A3B57"/>
    <w:rsid w:val="002B2E4E"/>
    <w:rsid w:val="002D353B"/>
    <w:rsid w:val="002E36F6"/>
    <w:rsid w:val="002E6504"/>
    <w:rsid w:val="00311CCB"/>
    <w:rsid w:val="00312D91"/>
    <w:rsid w:val="00313428"/>
    <w:rsid w:val="00333834"/>
    <w:rsid w:val="0034042D"/>
    <w:rsid w:val="00344EF5"/>
    <w:rsid w:val="0035321F"/>
    <w:rsid w:val="003712F3"/>
    <w:rsid w:val="003800CF"/>
    <w:rsid w:val="003817C6"/>
    <w:rsid w:val="003B0B9C"/>
    <w:rsid w:val="003B1B25"/>
    <w:rsid w:val="003C5461"/>
    <w:rsid w:val="003D5346"/>
    <w:rsid w:val="003D5786"/>
    <w:rsid w:val="003E1E9D"/>
    <w:rsid w:val="003E527E"/>
    <w:rsid w:val="003F15BD"/>
    <w:rsid w:val="003F29DA"/>
    <w:rsid w:val="003F3377"/>
    <w:rsid w:val="003F67B7"/>
    <w:rsid w:val="00403C41"/>
    <w:rsid w:val="0041360F"/>
    <w:rsid w:val="00420965"/>
    <w:rsid w:val="00432574"/>
    <w:rsid w:val="004755BC"/>
    <w:rsid w:val="00482375"/>
    <w:rsid w:val="00482BD8"/>
    <w:rsid w:val="00482C0C"/>
    <w:rsid w:val="00493A41"/>
    <w:rsid w:val="00495E12"/>
    <w:rsid w:val="004A2786"/>
    <w:rsid w:val="004B0778"/>
    <w:rsid w:val="004B164C"/>
    <w:rsid w:val="004B5F7E"/>
    <w:rsid w:val="004B7091"/>
    <w:rsid w:val="004E4507"/>
    <w:rsid w:val="004F6B4A"/>
    <w:rsid w:val="00510344"/>
    <w:rsid w:val="00524A4A"/>
    <w:rsid w:val="005365EB"/>
    <w:rsid w:val="00553DE1"/>
    <w:rsid w:val="00557A6B"/>
    <w:rsid w:val="0056144D"/>
    <w:rsid w:val="00564FE5"/>
    <w:rsid w:val="0056540B"/>
    <w:rsid w:val="0056775B"/>
    <w:rsid w:val="0057333A"/>
    <w:rsid w:val="005749DA"/>
    <w:rsid w:val="00580CC5"/>
    <w:rsid w:val="00587D51"/>
    <w:rsid w:val="0059485D"/>
    <w:rsid w:val="005B479B"/>
    <w:rsid w:val="005B4EFC"/>
    <w:rsid w:val="005B7BC4"/>
    <w:rsid w:val="005C2F65"/>
    <w:rsid w:val="005D6901"/>
    <w:rsid w:val="006012EC"/>
    <w:rsid w:val="006018C0"/>
    <w:rsid w:val="00611B59"/>
    <w:rsid w:val="00615DD8"/>
    <w:rsid w:val="00623771"/>
    <w:rsid w:val="00631FA0"/>
    <w:rsid w:val="00674DB6"/>
    <w:rsid w:val="00681B26"/>
    <w:rsid w:val="00683DF4"/>
    <w:rsid w:val="00690A7C"/>
    <w:rsid w:val="006A0AAC"/>
    <w:rsid w:val="006A0C1B"/>
    <w:rsid w:val="006A39C8"/>
    <w:rsid w:val="006A72E2"/>
    <w:rsid w:val="006B0B28"/>
    <w:rsid w:val="006B628D"/>
    <w:rsid w:val="006C42BE"/>
    <w:rsid w:val="006D1C3B"/>
    <w:rsid w:val="006E2F44"/>
    <w:rsid w:val="006E609F"/>
    <w:rsid w:val="00717574"/>
    <w:rsid w:val="00733528"/>
    <w:rsid w:val="007506F8"/>
    <w:rsid w:val="00750F15"/>
    <w:rsid w:val="007521B4"/>
    <w:rsid w:val="00755258"/>
    <w:rsid w:val="00757A61"/>
    <w:rsid w:val="00760426"/>
    <w:rsid w:val="007670DA"/>
    <w:rsid w:val="00772560"/>
    <w:rsid w:val="00780331"/>
    <w:rsid w:val="0078469C"/>
    <w:rsid w:val="007A328B"/>
    <w:rsid w:val="007A6B2A"/>
    <w:rsid w:val="007C1727"/>
    <w:rsid w:val="007D1E3B"/>
    <w:rsid w:val="007E65E1"/>
    <w:rsid w:val="008115BE"/>
    <w:rsid w:val="00814645"/>
    <w:rsid w:val="00817103"/>
    <w:rsid w:val="00831568"/>
    <w:rsid w:val="00834E17"/>
    <w:rsid w:val="008452D5"/>
    <w:rsid w:val="00847199"/>
    <w:rsid w:val="00864EEA"/>
    <w:rsid w:val="00870CD8"/>
    <w:rsid w:val="008A39EF"/>
    <w:rsid w:val="008A69F4"/>
    <w:rsid w:val="008B0F64"/>
    <w:rsid w:val="008B5500"/>
    <w:rsid w:val="008B77F4"/>
    <w:rsid w:val="008C4C14"/>
    <w:rsid w:val="008D4D1B"/>
    <w:rsid w:val="008D5565"/>
    <w:rsid w:val="008E47CD"/>
    <w:rsid w:val="008F3883"/>
    <w:rsid w:val="009009A0"/>
    <w:rsid w:val="00905055"/>
    <w:rsid w:val="00905ACA"/>
    <w:rsid w:val="00905BEC"/>
    <w:rsid w:val="00914B4B"/>
    <w:rsid w:val="0092165C"/>
    <w:rsid w:val="00941D96"/>
    <w:rsid w:val="00943330"/>
    <w:rsid w:val="00972252"/>
    <w:rsid w:val="009761FA"/>
    <w:rsid w:val="00981E1E"/>
    <w:rsid w:val="00997810"/>
    <w:rsid w:val="009C1D48"/>
    <w:rsid w:val="009C1D93"/>
    <w:rsid w:val="009C4299"/>
    <w:rsid w:val="009D43DE"/>
    <w:rsid w:val="009E20CA"/>
    <w:rsid w:val="009E75C2"/>
    <w:rsid w:val="009F0A96"/>
    <w:rsid w:val="009F15DC"/>
    <w:rsid w:val="00A05E8A"/>
    <w:rsid w:val="00A10447"/>
    <w:rsid w:val="00A27ED1"/>
    <w:rsid w:val="00A4064C"/>
    <w:rsid w:val="00A561FC"/>
    <w:rsid w:val="00A57AA1"/>
    <w:rsid w:val="00A6325C"/>
    <w:rsid w:val="00A66C17"/>
    <w:rsid w:val="00A804E5"/>
    <w:rsid w:val="00A96FAC"/>
    <w:rsid w:val="00A97FC5"/>
    <w:rsid w:val="00AA5B7A"/>
    <w:rsid w:val="00AB52C4"/>
    <w:rsid w:val="00AC2FE6"/>
    <w:rsid w:val="00AD2D63"/>
    <w:rsid w:val="00AD59D4"/>
    <w:rsid w:val="00AE3549"/>
    <w:rsid w:val="00AF5DDB"/>
    <w:rsid w:val="00B030CB"/>
    <w:rsid w:val="00B04A23"/>
    <w:rsid w:val="00B167AD"/>
    <w:rsid w:val="00B176FA"/>
    <w:rsid w:val="00B230E4"/>
    <w:rsid w:val="00B257B2"/>
    <w:rsid w:val="00B271A3"/>
    <w:rsid w:val="00B2725A"/>
    <w:rsid w:val="00B3525F"/>
    <w:rsid w:val="00B40D6F"/>
    <w:rsid w:val="00B52A96"/>
    <w:rsid w:val="00B53C24"/>
    <w:rsid w:val="00B66A63"/>
    <w:rsid w:val="00B721E1"/>
    <w:rsid w:val="00B8032F"/>
    <w:rsid w:val="00B92E4A"/>
    <w:rsid w:val="00B95F29"/>
    <w:rsid w:val="00BA2B21"/>
    <w:rsid w:val="00BA713C"/>
    <w:rsid w:val="00BB5CBB"/>
    <w:rsid w:val="00BB6FBE"/>
    <w:rsid w:val="00BC5D48"/>
    <w:rsid w:val="00BF46D0"/>
    <w:rsid w:val="00BF5D8F"/>
    <w:rsid w:val="00C01C73"/>
    <w:rsid w:val="00C12151"/>
    <w:rsid w:val="00C13C26"/>
    <w:rsid w:val="00C163F4"/>
    <w:rsid w:val="00C203D9"/>
    <w:rsid w:val="00C3626E"/>
    <w:rsid w:val="00C362A9"/>
    <w:rsid w:val="00C507CB"/>
    <w:rsid w:val="00C760FB"/>
    <w:rsid w:val="00C768CD"/>
    <w:rsid w:val="00C77FC6"/>
    <w:rsid w:val="00C905A3"/>
    <w:rsid w:val="00CA088A"/>
    <w:rsid w:val="00CB32A8"/>
    <w:rsid w:val="00CB3A59"/>
    <w:rsid w:val="00CC4D9C"/>
    <w:rsid w:val="00CC6EC3"/>
    <w:rsid w:val="00CC6F3C"/>
    <w:rsid w:val="00CD3F21"/>
    <w:rsid w:val="00CD4152"/>
    <w:rsid w:val="00CD7735"/>
    <w:rsid w:val="00CF0CE3"/>
    <w:rsid w:val="00CF4EA6"/>
    <w:rsid w:val="00CF7CC5"/>
    <w:rsid w:val="00D011F6"/>
    <w:rsid w:val="00D018FC"/>
    <w:rsid w:val="00D258EE"/>
    <w:rsid w:val="00D3529D"/>
    <w:rsid w:val="00D454AF"/>
    <w:rsid w:val="00D516A0"/>
    <w:rsid w:val="00D61253"/>
    <w:rsid w:val="00D84309"/>
    <w:rsid w:val="00D915E4"/>
    <w:rsid w:val="00DA58B0"/>
    <w:rsid w:val="00DC2F81"/>
    <w:rsid w:val="00DC392D"/>
    <w:rsid w:val="00DD6B33"/>
    <w:rsid w:val="00DD78E1"/>
    <w:rsid w:val="00DF4153"/>
    <w:rsid w:val="00DF5AD3"/>
    <w:rsid w:val="00E00B27"/>
    <w:rsid w:val="00E020B4"/>
    <w:rsid w:val="00E1457B"/>
    <w:rsid w:val="00E15CEC"/>
    <w:rsid w:val="00E50630"/>
    <w:rsid w:val="00E72EA2"/>
    <w:rsid w:val="00E80231"/>
    <w:rsid w:val="00E80809"/>
    <w:rsid w:val="00E84DE8"/>
    <w:rsid w:val="00E86C5E"/>
    <w:rsid w:val="00EA7AA0"/>
    <w:rsid w:val="00EB2252"/>
    <w:rsid w:val="00ED1883"/>
    <w:rsid w:val="00EE190B"/>
    <w:rsid w:val="00EF68FF"/>
    <w:rsid w:val="00F210C6"/>
    <w:rsid w:val="00F31670"/>
    <w:rsid w:val="00F43977"/>
    <w:rsid w:val="00F44B08"/>
    <w:rsid w:val="00F50300"/>
    <w:rsid w:val="00F50AC7"/>
    <w:rsid w:val="00F53D81"/>
    <w:rsid w:val="00F57D69"/>
    <w:rsid w:val="00F622D6"/>
    <w:rsid w:val="00F67BC8"/>
    <w:rsid w:val="00F75911"/>
    <w:rsid w:val="00F9278F"/>
    <w:rsid w:val="00F93000"/>
    <w:rsid w:val="00F934A9"/>
    <w:rsid w:val="00F96CD5"/>
    <w:rsid w:val="00F9793A"/>
    <w:rsid w:val="00F97C8E"/>
    <w:rsid w:val="00FA33D7"/>
    <w:rsid w:val="00FA6617"/>
    <w:rsid w:val="00FB132F"/>
    <w:rsid w:val="00FB2CF5"/>
    <w:rsid w:val="00FB7113"/>
    <w:rsid w:val="00FC2388"/>
    <w:rsid w:val="00FD0FC1"/>
    <w:rsid w:val="00FE01A0"/>
    <w:rsid w:val="00FE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FA0426E-0E88-4454-A652-62CC2AB6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0DA"/>
    <w:rPr>
      <w:sz w:val="24"/>
      <w:szCs w:val="24"/>
    </w:rPr>
  </w:style>
  <w:style w:type="paragraph" w:styleId="Titre5">
    <w:name w:val="heading 5"/>
    <w:basedOn w:val="Normal"/>
    <w:next w:val="Normal"/>
    <w:qFormat/>
    <w:rsid w:val="00253952"/>
    <w:pPr>
      <w:spacing w:before="240" w:after="60"/>
      <w:outlineLvl w:val="4"/>
    </w:pPr>
    <w:rPr>
      <w:b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12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semiHidden/>
    <w:rsid w:val="00557A6B"/>
    <w:rPr>
      <w:sz w:val="16"/>
      <w:szCs w:val="16"/>
    </w:rPr>
  </w:style>
  <w:style w:type="paragraph" w:styleId="Commentaire">
    <w:name w:val="annotation text"/>
    <w:basedOn w:val="Normal"/>
    <w:semiHidden/>
    <w:rsid w:val="00557A6B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557A6B"/>
    <w:rPr>
      <w:b/>
      <w:bCs/>
    </w:rPr>
  </w:style>
  <w:style w:type="paragraph" w:styleId="Notedebasdepage">
    <w:name w:val="footnote text"/>
    <w:basedOn w:val="Normal"/>
    <w:semiHidden/>
    <w:rsid w:val="00DD78E1"/>
    <w:rPr>
      <w:sz w:val="20"/>
      <w:szCs w:val="20"/>
    </w:rPr>
  </w:style>
  <w:style w:type="character" w:styleId="Appelnotedebasdep">
    <w:name w:val="footnote reference"/>
    <w:semiHidden/>
    <w:rsid w:val="00DD78E1"/>
    <w:rPr>
      <w:vertAlign w:val="superscript"/>
    </w:rPr>
  </w:style>
  <w:style w:type="paragraph" w:styleId="Corpsdetexte">
    <w:name w:val="Body Text"/>
    <w:basedOn w:val="Normal"/>
    <w:rsid w:val="00214D59"/>
    <w:pPr>
      <w:jc w:val="both"/>
    </w:pPr>
    <w:rPr>
      <w:b/>
      <w:sz w:val="20"/>
      <w:szCs w:val="20"/>
    </w:rPr>
  </w:style>
  <w:style w:type="paragraph" w:customStyle="1" w:styleId="AnnonceChapSection">
    <w:name w:val="AnnonceChap&amp;Section"/>
    <w:basedOn w:val="Normal"/>
    <w:next w:val="Normal"/>
    <w:rsid w:val="00253952"/>
    <w:pPr>
      <w:keepLines/>
      <w:spacing w:before="240"/>
      <w:jc w:val="both"/>
    </w:pPr>
    <w:rPr>
      <w:sz w:val="22"/>
      <w:szCs w:val="20"/>
    </w:rPr>
  </w:style>
  <w:style w:type="paragraph" w:customStyle="1" w:styleId="NormalCorpsTxt">
    <w:name w:val="Normal.CorpsTxt"/>
    <w:rsid w:val="00253952"/>
    <w:pPr>
      <w:keepLines/>
      <w:spacing w:before="120"/>
      <w:jc w:val="both"/>
    </w:pPr>
    <w:rPr>
      <w:sz w:val="22"/>
    </w:rPr>
  </w:style>
  <w:style w:type="paragraph" w:styleId="Paragraphedeliste">
    <w:name w:val="List Paragraph"/>
    <w:basedOn w:val="Normal"/>
    <w:uiPriority w:val="34"/>
    <w:qFormat/>
    <w:rsid w:val="00CA088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DF9BF-49C1-4B61-9B09-F00C0DCC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</vt:lpstr>
    </vt:vector>
  </TitlesOfParts>
  <Company>HP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</dc:title>
  <dc:subject/>
  <dc:creator>LJA</dc:creator>
  <cp:keywords/>
  <cp:lastModifiedBy>Compte Microsoft</cp:lastModifiedBy>
  <cp:revision>2</cp:revision>
  <cp:lastPrinted>2021-05-19T13:56:00Z</cp:lastPrinted>
  <dcterms:created xsi:type="dcterms:W3CDTF">2021-09-08T17:21:00Z</dcterms:created>
  <dcterms:modified xsi:type="dcterms:W3CDTF">2021-09-08T17:21:00Z</dcterms:modified>
</cp:coreProperties>
</file>