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Notre vocation</w:t>
      </w:r>
      <w:r w:rsidR="00D53C06" w:rsidRPr="009C0AFE">
        <w:rPr>
          <w:rFonts w:asciiTheme="minorHAnsi" w:hAnsiTheme="minorHAnsi" w:cs="Arial"/>
          <w:b/>
          <w:bCs/>
          <w:color w:val="000000" w:themeColor="text1"/>
        </w:rPr>
        <w:t xml:space="preserve"> : 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Nous avons développé une démarche s'inscrivant dans la stratégie sociale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les transformations des organisations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Nous accompagnons les entreprises sur les thèmes de la qualité de vie au travail, de la prévention de l'absentéisme et des risques psychosociaux.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Nous intervenons avec le souci constant de répondre au plus près des attentes de nos interlocuteurs quel que soit les demandes: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Diagnostics,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Dispositifs de prévention et de médiation,</w:t>
      </w:r>
    </w:p>
    <w:p w:rsidR="008D035F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Construction et pilotage des plans d’accompagnement du changement.  </w:t>
      </w: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Analyse des impacts humains et organisationnels des projets de changement.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Concrètement, nous aidons les </w:t>
      </w:r>
      <w:r w:rsidR="008D035F" w:rsidRPr="009C0AFE">
        <w:rPr>
          <w:rFonts w:asciiTheme="minorHAnsi" w:hAnsiTheme="minorHAnsi" w:cs="Calibri"/>
          <w:color w:val="000000" w:themeColor="text1"/>
          <w:sz w:val="20"/>
          <w:szCs w:val="20"/>
        </w:rPr>
        <w:t>entreprises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équipes de direction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 pour </w:t>
      </w:r>
      <w:r w:rsidR="00257348" w:rsidRPr="009C0AFE">
        <w:rPr>
          <w:rFonts w:asciiTheme="minorHAnsi" w:hAnsiTheme="minorHAnsi" w:cs="Calibri"/>
          <w:color w:val="000000" w:themeColor="text1"/>
          <w:sz w:val="20"/>
          <w:szCs w:val="20"/>
        </w:rPr>
        <w:t>ac</w:t>
      </w:r>
      <w:r w:rsidR="00D53C06" w:rsidRPr="009C0AFE">
        <w:rPr>
          <w:rFonts w:asciiTheme="minorHAnsi" w:hAnsiTheme="minorHAnsi" w:cs="Calibri"/>
          <w:color w:val="000000" w:themeColor="text1"/>
          <w:sz w:val="20"/>
          <w:szCs w:val="20"/>
        </w:rPr>
        <w:t>compagner leur dynamique humaine</w:t>
      </w:r>
    </w:p>
    <w:p w:rsidR="00136950" w:rsidRPr="009C0AFE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des équipes des Ressources Humaines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, pour proposer des actions de prévention et de communication, leviers d’un bon climat social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managers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collaborateurs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aider à mieux se connaître en situation de stress (gestion de conflit, capacité de récupération, vigilance, aptitudes relationnelles) ;</w:t>
      </w:r>
    </w:p>
    <w:p w:rsidR="00C30364" w:rsidRPr="009C0AFE" w:rsidRDefault="00C30364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C30364" w:rsidRPr="009C0AFE" w:rsidRDefault="00D53C06" w:rsidP="00DB47EE">
      <w:pPr>
        <w:rPr>
          <w:rFonts w:asciiTheme="minorHAnsi" w:hAnsiTheme="minorHAnsi" w:cs="Calibri"/>
          <w:b/>
          <w:color w:val="000000" w:themeColor="text1"/>
        </w:rPr>
      </w:pPr>
      <w:r w:rsidRPr="009C0AFE">
        <w:rPr>
          <w:rFonts w:asciiTheme="minorHAnsi" w:hAnsiTheme="minorHAnsi" w:cs="Calibri"/>
          <w:b/>
          <w:color w:val="000000" w:themeColor="text1"/>
        </w:rPr>
        <w:t>Avec le souci permanent de :</w:t>
      </w:r>
    </w:p>
    <w:p w:rsidR="00BA35B1" w:rsidRPr="009C0AFE" w:rsidRDefault="00BA35B1" w:rsidP="00DB47EE">
      <w:pPr>
        <w:rPr>
          <w:rFonts w:asciiTheme="minorHAnsi" w:hAnsiTheme="minorHAnsi" w:cs="Calibri"/>
          <w:b/>
          <w:color w:val="000000" w:themeColor="text1"/>
          <w:sz w:val="20"/>
          <w:szCs w:val="20"/>
        </w:rPr>
      </w:pP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>Faire travailler les équipes en présence en harmonie,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Articuler la qualité de vie au travail et la politique de l'entreprise, 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Aider les collaborateurs à gérer le stress lié à des cont</w:t>
      </w:r>
      <w:r w:rsidR="00D53C06"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raintes  environnementales et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économiques,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Valoriser la culture de l'entreprise en ayant un état d'esprit différent,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Travailler sur les complémentarités des compétences de chacun.</w:t>
      </w:r>
    </w:p>
    <w:p w:rsidR="00607413" w:rsidRPr="009C0AFE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      </w:t>
      </w:r>
    </w:p>
    <w:p w:rsidR="00607413" w:rsidRPr="009C0AFE" w:rsidRDefault="00562381" w:rsidP="00DB47EE">
      <w:pPr>
        <w:rPr>
          <w:rFonts w:asciiTheme="minorHAnsi" w:hAnsiTheme="minorHAnsi" w:cs="Arial"/>
          <w:b/>
          <w:color w:val="000000" w:themeColor="text1"/>
        </w:rPr>
      </w:pPr>
      <w:r w:rsidRPr="009C0AFE">
        <w:rPr>
          <w:rFonts w:asciiTheme="minorHAnsi" w:hAnsiTheme="minorHAnsi" w:cs="Arial"/>
          <w:b/>
          <w:color w:val="000000" w:themeColor="text1"/>
        </w:rPr>
        <w:t>Notre méthodologie</w:t>
      </w:r>
    </w:p>
    <w:p w:rsidR="00562381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C30364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>peut se faire, en fonction des besoins,</w:t>
      </w:r>
      <w:r w:rsidR="00C30364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sur la base d’un à plusieurs entretiens menés en présentiels ou à distance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9C0AFE">
        <w:rPr>
          <w:rFonts w:asciiTheme="minorHAnsi" w:hAnsiTheme="minorHAnsi"/>
          <w:color w:val="000000" w:themeColor="text1"/>
          <w:sz w:val="20"/>
          <w:szCs w:val="20"/>
        </w:rPr>
        <w:t>s situations.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donne suite à un compte rendu qui met en valeur  le contexte, la demande exprimée par les différents interlocuteurs et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nos modalités d’intervention.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62381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Nous avons toujours à cœur d’être au plus proche des attentes de nos interlocuteurs.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Nous proposons de manière systématique un test grandeur nature qui permet de rendre compte concrètement de notre savo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ir-faire et des outils préconisés.</w:t>
      </w: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lastRenderedPageBreak/>
        <w:t>Nous intervenons de manière ponctuelle ou avec une continuité d’actions qui permettent d’</w:t>
      </w:r>
      <w:r w:rsidR="008C64C1" w:rsidRPr="009C0AFE">
        <w:rPr>
          <w:rFonts w:asciiTheme="minorHAnsi" w:hAnsiTheme="minorHAnsi"/>
          <w:color w:val="000000" w:themeColor="text1"/>
          <w:sz w:val="20"/>
          <w:szCs w:val="20"/>
        </w:rPr>
        <w:t>instiller au fil des mois des "prises de recul"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Pr="009C0AFE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Nos outils</w:t>
      </w:r>
    </w:p>
    <w:p w:rsidR="000E3DAD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</w:t>
      </w:r>
      <w:r w:rsidR="00607413" w:rsidRPr="009C0AFE">
        <w:rPr>
          <w:rFonts w:asciiTheme="minorHAnsi" w:eastAsia="Calibri" w:hAnsiTheme="minorHAnsi" w:cs="Arial"/>
          <w:b/>
          <w:color w:val="000000" w:themeColor="text1"/>
        </w:rPr>
        <w:t>ous utilisons ou concevons des outils qui répondent à nos modes d’intervention</w:t>
      </w:r>
      <w:r w:rsidRPr="009C0AFE">
        <w:rPr>
          <w:rFonts w:asciiTheme="minorHAnsi" w:eastAsia="Calibri" w:hAnsiTheme="minorHAnsi" w:cs="Arial"/>
          <w:b/>
          <w:color w:val="000000" w:themeColor="text1"/>
        </w:rPr>
        <w:t>s</w:t>
      </w: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Ingénierie et animation de </w:t>
      </w:r>
      <w:r w:rsidR="00B94468" w:rsidRPr="009C0AFE">
        <w:rPr>
          <w:rFonts w:asciiTheme="minorHAnsi" w:hAnsiTheme="minorHAnsi"/>
          <w:b/>
          <w:color w:val="000000" w:themeColor="text1"/>
          <w:sz w:val="20"/>
          <w:szCs w:val="20"/>
        </w:rPr>
        <w:t>f</w:t>
      </w: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ormations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formation à la gestion des émotions, confiance en soi, comment être mieux au travail, </w:t>
      </w:r>
      <w:r w:rsidR="00B94468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formation managériale,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préparations à la retraite…</w:t>
      </w:r>
    </w:p>
    <w:p w:rsidR="00B94468" w:rsidRPr="009C0AFE" w:rsidRDefault="00B94468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Formation en inter ou en intra avec une ingénierie personnalisée en fonction des besoins 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exprimés</w:t>
      </w:r>
      <w:r w:rsidR="00BA35B1" w:rsidRPr="009C0AFE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Soutien psychologique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 :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entretien individuel ou session collective pour mieux vivre des évènements difficiles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Echanges d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e pratiques : 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9C0AFE" w:rsidRDefault="005543DB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Evènement, séminaire autour d’une question d’entreprise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forum ouvert</w:t>
      </w:r>
    </w:p>
    <w:p w:rsidR="00B94468" w:rsidRPr="009C0AFE" w:rsidRDefault="00B94468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Coaching</w:t>
      </w: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Test de personnalité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5543DB" w:rsidRPr="009C0AFE" w:rsidRDefault="005543DB" w:rsidP="00DB47EE">
      <w:pPr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Conférences :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comment mieux gérer son stress,  le sommeil, le lâcher prise, la pensée positive, le </w:t>
      </w:r>
      <w:proofErr w:type="spellStart"/>
      <w:r w:rsidRPr="009C0AFE">
        <w:rPr>
          <w:rFonts w:asciiTheme="minorHAnsi" w:hAnsiTheme="minorHAnsi"/>
          <w:color w:val="000000" w:themeColor="text1"/>
          <w:sz w:val="20"/>
          <w:szCs w:val="20"/>
        </w:rPr>
        <w:t>burn</w:t>
      </w:r>
      <w:proofErr w:type="spellEnd"/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out, les huiles essentielles…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BA35B1" w:rsidRPr="009C0AFE" w:rsidRDefault="002E2178" w:rsidP="008C64C1">
      <w:pPr>
        <w:tabs>
          <w:tab w:val="left" w:pos="4200"/>
        </w:tabs>
        <w:rPr>
          <w:b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2pt;margin-top:5.85pt;width:71.05pt;height:71.05pt;z-index:251662336;mso-position-horizontal-relative:text;mso-position-vertical-relative:text;mso-width-relative:page;mso-height-relative:page">
            <v:imagedata r:id="rId8" o:title="revellqt evelyne 400 "/>
            <w10:wrap type="square"/>
          </v:shape>
        </w:pict>
      </w: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GoBack"/>
      <w:bookmarkEnd w:id="0"/>
    </w:p>
    <w:p w:rsidR="00BA35B1" w:rsidRPr="009C0AFE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Evelyne REVELLAT</w:t>
      </w:r>
    </w:p>
    <w:p w:rsidR="00BA35B1" w:rsidRPr="009C0AFE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Sophrologue-Relaxologue</w:t>
      </w: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  <w:sectPr w:rsidR="00BA35B1" w:rsidRPr="009C0AFE" w:rsidSect="002E2178">
          <w:headerReference w:type="default" r:id="rId9"/>
          <w:footerReference w:type="default" r:id="rId10"/>
          <w:pgSz w:w="11906" w:h="16838"/>
          <w:pgMar w:top="790" w:right="866" w:bottom="1417" w:left="1417" w:header="568" w:footer="423" w:gutter="0"/>
          <w:cols w:space="708"/>
          <w:docGrid w:linePitch="360"/>
        </w:sectPr>
      </w:pPr>
    </w:p>
    <w:p w:rsidR="009C0AFE" w:rsidRPr="009C0AFE" w:rsidRDefault="009C0AFE" w:rsidP="002E2178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</w:p>
    <w:p w:rsidR="002E2178" w:rsidRPr="002E2178" w:rsidRDefault="009C0AFE" w:rsidP="002E2178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Une trentaine d'années en relations humaines et relation d'aide et développement personnel. A été Responsable des Ressources humaines et coach in</w:t>
      </w:r>
      <w:r w:rsidR="002E2178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terne au sein de grands groupes,</w:t>
      </w:r>
    </w:p>
    <w:p w:rsidR="009C0AFE" w:rsidRPr="002E2178" w:rsidRDefault="009C0AFE" w:rsidP="002E2178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2E2178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lastRenderedPageBreak/>
        <w:t>Sophrologue praticienne de l'ESSA (Ecole Supérieure de Sophrologie Appliquée) à Vincennes,</w:t>
      </w:r>
    </w:p>
    <w:p w:rsidR="009C0AFE" w:rsidRPr="002E2178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Sidra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Stone et à l'EFT (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Emotional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Freedom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Technique) en France auprès de Jean-Michel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Gurret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.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  <w:sectPr w:rsidR="009C0AFE" w:rsidRPr="009C0AFE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2E2178" w:rsidRDefault="002E2178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2E2178" w:rsidRDefault="002E2178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9C0AFE" w:rsidRPr="009C0AFE" w:rsidRDefault="009C0AFE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Accompagnement Adultes - Adolescents - Entreprises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Orientation humaniste, Carl R. Rogers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Soutien psychologique </w:t>
      </w: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en entretiens individuels ou groupes de paroles </w:t>
      </w: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mal-être, rupture professionnelle, personnelle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Souffrance au travail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Animation de formation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tabs>
          <w:tab w:val="left" w:pos="8031"/>
        </w:tabs>
        <w:spacing w:before="0" w:beforeAutospacing="0" w:after="0" w:afterAutospacing="0"/>
        <w:ind w:left="14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-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confiance en soi, gestion des émotions...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Développement Personnel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Prestations sur mesure pour les individuels ou les entreprises</w:t>
      </w:r>
    </w:p>
    <w:p w:rsidR="00F9121A" w:rsidRPr="009C0AFE" w:rsidRDefault="009C0AFE" w:rsidP="009C0AFE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Animation de sessions de formation</w:t>
      </w:r>
    </w:p>
    <w:sectPr w:rsidR="00F9121A" w:rsidRPr="009C0AFE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19" w:rsidRDefault="00A11419" w:rsidP="005405EA">
      <w:r>
        <w:separator/>
      </w:r>
    </w:p>
  </w:endnote>
  <w:endnote w:type="continuationSeparator" w:id="0">
    <w:p w:rsidR="00A11419" w:rsidRDefault="00A11419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19" w:rsidRDefault="00A11419" w:rsidP="005405EA">
      <w:r>
        <w:separator/>
      </w:r>
    </w:p>
  </w:footnote>
  <w:footnote w:type="continuationSeparator" w:id="0">
    <w:p w:rsidR="00A11419" w:rsidRDefault="00A11419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9DBD26F" wp14:editId="0124D621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4310E8F" wp14:editId="69082E0F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50E2F"/>
    <w:rsid w:val="000E3DAD"/>
    <w:rsid w:val="00136950"/>
    <w:rsid w:val="00177FB5"/>
    <w:rsid w:val="00257348"/>
    <w:rsid w:val="002E2178"/>
    <w:rsid w:val="003932A3"/>
    <w:rsid w:val="004D536B"/>
    <w:rsid w:val="005405EA"/>
    <w:rsid w:val="005543DB"/>
    <w:rsid w:val="00562381"/>
    <w:rsid w:val="00607413"/>
    <w:rsid w:val="00681F2F"/>
    <w:rsid w:val="0070109C"/>
    <w:rsid w:val="00733FA7"/>
    <w:rsid w:val="00793282"/>
    <w:rsid w:val="008A6D9A"/>
    <w:rsid w:val="008C64C1"/>
    <w:rsid w:val="008D035F"/>
    <w:rsid w:val="008E358C"/>
    <w:rsid w:val="009B6803"/>
    <w:rsid w:val="009C08B2"/>
    <w:rsid w:val="009C0AFE"/>
    <w:rsid w:val="00A11419"/>
    <w:rsid w:val="00A715B7"/>
    <w:rsid w:val="00B21149"/>
    <w:rsid w:val="00B47762"/>
    <w:rsid w:val="00B94468"/>
    <w:rsid w:val="00BA35B1"/>
    <w:rsid w:val="00BC7993"/>
    <w:rsid w:val="00C17199"/>
    <w:rsid w:val="00C30364"/>
    <w:rsid w:val="00C7717C"/>
    <w:rsid w:val="00D53C06"/>
    <w:rsid w:val="00D77A74"/>
    <w:rsid w:val="00D93B03"/>
    <w:rsid w:val="00DB3DDE"/>
    <w:rsid w:val="00DB47EE"/>
    <w:rsid w:val="00E045BC"/>
    <w:rsid w:val="00E114DC"/>
    <w:rsid w:val="00EE2A4C"/>
    <w:rsid w:val="00F65524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7</cp:revision>
  <cp:lastPrinted>2018-05-06T20:44:00Z</cp:lastPrinted>
  <dcterms:created xsi:type="dcterms:W3CDTF">2018-05-06T20:28:00Z</dcterms:created>
  <dcterms:modified xsi:type="dcterms:W3CDTF">2018-05-06T20:44:00Z</dcterms:modified>
</cp:coreProperties>
</file>