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76" w:rsidRDefault="00A24A76">
      <w:pPr>
        <w:rPr>
          <w:b/>
          <w:sz w:val="24"/>
          <w:szCs w:val="24"/>
        </w:rPr>
      </w:pPr>
    </w:p>
    <w:p w:rsidR="00AC5395" w:rsidRPr="0005154A" w:rsidRDefault="00AC5395">
      <w:pPr>
        <w:rPr>
          <w:b/>
          <w:sz w:val="24"/>
          <w:szCs w:val="24"/>
        </w:rPr>
      </w:pPr>
      <w:r w:rsidRPr="0005154A">
        <w:rPr>
          <w:b/>
          <w:sz w:val="24"/>
          <w:szCs w:val="24"/>
        </w:rPr>
        <w:t xml:space="preserve">Admission </w:t>
      </w:r>
      <w:proofErr w:type="spellStart"/>
      <w:r w:rsidRPr="0005154A">
        <w:rPr>
          <w:b/>
          <w:sz w:val="24"/>
          <w:szCs w:val="24"/>
        </w:rPr>
        <w:t>DataDock</w:t>
      </w:r>
      <w:proofErr w:type="spellEnd"/>
      <w:r w:rsidRPr="0005154A">
        <w:rPr>
          <w:b/>
          <w:sz w:val="24"/>
          <w:szCs w:val="24"/>
        </w:rPr>
        <w:t> :</w:t>
      </w:r>
    </w:p>
    <w:p w:rsidR="00AC5395" w:rsidRPr="004B651A" w:rsidRDefault="00AC5395" w:rsidP="00AC5395">
      <w:pP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Organisme de F</w:t>
      </w:r>
      <w:r w:rsidR="00A24A76"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ormation a pour statut : référencé </w:t>
      </w:r>
      <w:proofErr w:type="spellStart"/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DataDock</w:t>
      </w:r>
      <w:proofErr w:type="spellEnd"/>
      <w:r w:rsidRPr="004B651A">
        <w:rPr>
          <w:rFonts w:eastAsia="Times New Roman" w:cstheme="minorHAnsi"/>
          <w:sz w:val="24"/>
          <w:szCs w:val="24"/>
          <w:lang w:eastAsia="fr-FR"/>
        </w:rPr>
        <w:br/>
      </w:r>
    </w:p>
    <w:p w:rsidR="00AC5395" w:rsidRPr="004B651A" w:rsidRDefault="00AC5395" w:rsidP="00AC5395">
      <w:pP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Votre déclaration a été examinée par un financeur. Vous trouverez ci-dessous le résultat de cet examen : 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br/>
      </w:r>
      <w:r w:rsidR="00A24A76"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D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éclaration </w:t>
      </w:r>
      <w:r w:rsidR="00A24A76"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validée : résumé de l'examen effectué : </w:t>
      </w:r>
    </w:p>
    <w:p w:rsidR="00AC5395" w:rsidRPr="004B651A" w:rsidRDefault="00AC5395" w:rsidP="00AC5395">
      <w:pPr>
        <w:numPr>
          <w:ilvl w:val="0"/>
          <w:numId w:val="1"/>
        </w:numPr>
        <w:pBdr>
          <w:bottom w:val="single" w:sz="6" w:space="11" w:color="CCCCCC"/>
        </w:pBd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Validées 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Informations générales : Validées</w:t>
      </w:r>
    </w:p>
    <w:p w:rsidR="00AC5395" w:rsidRPr="004B651A" w:rsidRDefault="00AC5395" w:rsidP="00AC5395">
      <w:pPr>
        <w:numPr>
          <w:ilvl w:val="0"/>
          <w:numId w:val="1"/>
        </w:numPr>
        <w:pBdr>
          <w:bottom w:val="single" w:sz="6" w:space="11" w:color="CCCCCC"/>
        </w:pBd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Validé 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Etablissement : Validé</w:t>
      </w:r>
    </w:p>
    <w:p w:rsidR="00AC5395" w:rsidRPr="004B651A" w:rsidRDefault="00AC5395" w:rsidP="00AC5395">
      <w:pPr>
        <w:numPr>
          <w:ilvl w:val="0"/>
          <w:numId w:val="1"/>
        </w:numPr>
        <w:pBdr>
          <w:bottom w:val="single" w:sz="6" w:space="11" w:color="CCCCCC"/>
        </w:pBd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Validées 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Certifications : Validées</w:t>
      </w:r>
    </w:p>
    <w:p w:rsidR="00AC5395" w:rsidRPr="004B651A" w:rsidRDefault="00AC5395" w:rsidP="00A24A76">
      <w:pPr>
        <w:numPr>
          <w:ilvl w:val="0"/>
          <w:numId w:val="1"/>
        </w:numPr>
        <w:pBdr>
          <w:bottom w:val="single" w:sz="6" w:space="11" w:color="CCCCCC"/>
        </w:pBd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Valides 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Indicateurs  validés : 21/21</w:t>
      </w:r>
    </w:p>
    <w:p w:rsidR="00AC5395" w:rsidRPr="0005154A" w:rsidRDefault="00AC5395" w:rsidP="00AC5395">
      <w:pPr>
        <w:rPr>
          <w:b/>
          <w:sz w:val="24"/>
          <w:szCs w:val="24"/>
        </w:rPr>
      </w:pPr>
      <w:r w:rsidRPr="0005154A">
        <w:rPr>
          <w:b/>
          <w:sz w:val="24"/>
          <w:szCs w:val="24"/>
        </w:rPr>
        <w:t xml:space="preserve">Présentation de </w:t>
      </w:r>
      <w:proofErr w:type="spellStart"/>
      <w:r w:rsidRPr="0005154A">
        <w:rPr>
          <w:b/>
          <w:sz w:val="24"/>
          <w:szCs w:val="24"/>
        </w:rPr>
        <w:t>Khépri</w:t>
      </w:r>
      <w:proofErr w:type="spellEnd"/>
      <w:r w:rsidRPr="0005154A">
        <w:rPr>
          <w:b/>
          <w:sz w:val="24"/>
          <w:szCs w:val="24"/>
        </w:rPr>
        <w:t xml:space="preserve"> Formation:</w:t>
      </w:r>
    </w:p>
    <w:p w:rsidR="00AC5395" w:rsidRPr="0005154A" w:rsidRDefault="00AC5395" w:rsidP="00A24A76">
      <w:pPr>
        <w:jc w:val="both"/>
      </w:pPr>
      <w:r>
        <w:t xml:space="preserve">Le Centre </w:t>
      </w:r>
      <w:proofErr w:type="spellStart"/>
      <w:r>
        <w:t>Khépri</w:t>
      </w:r>
      <w:proofErr w:type="spellEnd"/>
      <w:r>
        <w:t xml:space="preserve"> Santé est spécialisé dans la formation auprès des </w:t>
      </w:r>
      <w:r w:rsidR="00A24A76">
        <w:t>entreprises</w:t>
      </w:r>
      <w:r>
        <w:t xml:space="preserve"> dans le cadre de la santé et qualité de vie au travail. Sa vocation est de former des managers, des cadres hospitaliers à la communication relationnelle pour améliorer les conditions de travail en les formants à la gestion du stress, ainsi qu'au management d'équipe. Le Centre forme également des professionnels de santé à l'organisation du travail. Des formations pour les cadres en entreprises portent également sur les aspects comportementaux et organisationnels pour améliorer leurs capacités à vivre des situations stressantes. Des formations sont prévues pour les coaches, consultants et thérapeutes pour savoir accompagner des clients en situation de stress aigu ou souffrant </w:t>
      </w:r>
      <w:r w:rsidR="0005154A">
        <w:t>de troubles anxieux importants.</w:t>
      </w:r>
    </w:p>
    <w:p w:rsidR="00AC5395" w:rsidRPr="0005154A" w:rsidRDefault="00AC5395" w:rsidP="00AC5395">
      <w:pPr>
        <w:rPr>
          <w:b/>
          <w:sz w:val="24"/>
          <w:szCs w:val="24"/>
        </w:rPr>
      </w:pPr>
      <w:r w:rsidRPr="0005154A">
        <w:rPr>
          <w:b/>
          <w:sz w:val="24"/>
          <w:szCs w:val="24"/>
        </w:rPr>
        <w:t>D’une façon générale, ci-dessous tous les domaines d’action de l’Organisme de Formation :</w:t>
      </w:r>
    </w:p>
    <w:p w:rsidR="00AC5395" w:rsidRDefault="00AC5395" w:rsidP="00AC5395">
      <w:pPr>
        <w:spacing w:after="0" w:line="240" w:lineRule="auto"/>
      </w:pPr>
      <w:r w:rsidRPr="00AC5395">
        <w:t>120 - Spécialités pluridisciplinaires, sciences humaines et droit</w:t>
      </w:r>
    </w:p>
    <w:p w:rsidR="00AC5395" w:rsidRDefault="00AC5395" w:rsidP="00AC5395">
      <w:pPr>
        <w:spacing w:after="0" w:line="240" w:lineRule="auto"/>
      </w:pPr>
      <w:r w:rsidRPr="00AC5395">
        <w:t xml:space="preserve">124 </w:t>
      </w:r>
      <w:r>
        <w:t>–</w:t>
      </w:r>
      <w:r w:rsidRPr="00AC5395">
        <w:t xml:space="preserve"> Psychologie</w:t>
      </w:r>
    </w:p>
    <w:p w:rsidR="00AC5395" w:rsidRDefault="00AC5395" w:rsidP="00AC5395">
      <w:pPr>
        <w:spacing w:after="0" w:line="240" w:lineRule="auto"/>
      </w:pPr>
      <w:r w:rsidRPr="00AC5395">
        <w:t>320 - Spécialités plurivalentes de la communication</w:t>
      </w:r>
    </w:p>
    <w:p w:rsidR="00AC5395" w:rsidRDefault="00AC5395" w:rsidP="00AC5395">
      <w:pPr>
        <w:spacing w:after="0" w:line="240" w:lineRule="auto"/>
      </w:pPr>
      <w:r w:rsidRPr="00AC5395">
        <w:t>315 - Ressources humaines, gestion du personnel, gestion de l'emploi</w:t>
      </w:r>
    </w:p>
    <w:p w:rsidR="00AC5395" w:rsidRDefault="00AC5395" w:rsidP="00AC5395">
      <w:pPr>
        <w:spacing w:after="0" w:line="240" w:lineRule="auto"/>
      </w:pPr>
      <w:r w:rsidRPr="00AC5395">
        <w:t xml:space="preserve">331 </w:t>
      </w:r>
      <w:r>
        <w:t>–</w:t>
      </w:r>
      <w:r w:rsidRPr="00AC5395">
        <w:t xml:space="preserve"> Santé</w:t>
      </w:r>
    </w:p>
    <w:p w:rsidR="00AC5395" w:rsidRDefault="00AC5395" w:rsidP="00AC5395">
      <w:pPr>
        <w:spacing w:after="0" w:line="240" w:lineRule="auto"/>
      </w:pPr>
      <w:r w:rsidRPr="00AC5395">
        <w:t>413 - Développement des capacités comportementales et relationnelles</w:t>
      </w:r>
    </w:p>
    <w:p w:rsidR="00AC5395" w:rsidRDefault="00AC5395" w:rsidP="00AC5395">
      <w:pPr>
        <w:spacing w:after="0" w:line="240" w:lineRule="auto"/>
      </w:pPr>
      <w:r w:rsidRPr="00AC5395">
        <w:t>414 - Développement des capacités individuelles d'organisation</w:t>
      </w:r>
    </w:p>
    <w:p w:rsidR="00AC5395" w:rsidRDefault="00AC5395" w:rsidP="00AC5395">
      <w:pPr>
        <w:spacing w:after="0" w:line="240" w:lineRule="auto"/>
      </w:pPr>
      <w:r w:rsidRPr="00AC5395">
        <w:t>415 - Développement des capacités d'orientation, d'insertion ou de réinsertion sociales et professionnelles</w:t>
      </w:r>
      <w:r w:rsidR="0055230D">
        <w:t> :</w:t>
      </w:r>
    </w:p>
    <w:p w:rsidR="009B6FF8" w:rsidRDefault="009B6FF8" w:rsidP="00AC5395">
      <w:pPr>
        <w:spacing w:after="0" w:line="240" w:lineRule="auto"/>
      </w:pPr>
    </w:p>
    <w:p w:rsidR="0055230D" w:rsidRPr="0055230D" w:rsidRDefault="0055230D" w:rsidP="0055230D">
      <w:pPr>
        <w:shd w:val="clear" w:color="auto" w:fill="FFFFFF"/>
        <w:spacing w:after="72" w:line="288" w:lineRule="atLeast"/>
        <w:textAlignment w:val="baseline"/>
        <w:outlineLvl w:val="3"/>
        <w:rPr>
          <w:rFonts w:eastAsia="Times New Roman" w:cstheme="minorHAnsi"/>
          <w:b/>
          <w:bCs/>
          <w:color w:val="333333"/>
          <w:lang w:eastAsia="fr-FR"/>
        </w:rPr>
      </w:pPr>
      <w:r w:rsidRPr="0055230D">
        <w:rPr>
          <w:rFonts w:eastAsia="Times New Roman" w:cstheme="minorHAnsi"/>
          <w:b/>
          <w:bCs/>
          <w:color w:val="333333"/>
          <w:lang w:eastAsia="fr-FR"/>
        </w:rPr>
        <w:t>Code NSF</w:t>
      </w:r>
      <w:r w:rsidR="00A24A76">
        <w:rPr>
          <w:rFonts w:eastAsia="Times New Roman" w:cstheme="minorHAnsi"/>
          <w:b/>
          <w:bCs/>
          <w:color w:val="333333"/>
          <w:lang w:eastAsia="fr-FR"/>
        </w:rPr>
        <w:t> :</w:t>
      </w:r>
    </w:p>
    <w:p w:rsidR="0055230D" w:rsidRPr="0055230D" w:rsidRDefault="0055230D" w:rsidP="0055230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333333"/>
          <w:lang w:eastAsia="fr-FR"/>
        </w:rPr>
      </w:pPr>
      <w:r w:rsidRPr="0055230D">
        <w:rPr>
          <w:rFonts w:eastAsia="Times New Roman" w:cstheme="minorHAnsi"/>
          <w:color w:val="333333"/>
          <w:lang w:eastAsia="fr-FR"/>
        </w:rPr>
        <w:t>NSF : </w:t>
      </w:r>
      <w:r w:rsidRPr="0055230D">
        <w:rPr>
          <w:rFonts w:eastAsia="Times New Roman" w:cstheme="minorHAnsi"/>
          <w:b/>
          <w:bCs/>
          <w:color w:val="333333"/>
          <w:bdr w:val="none" w:sz="0" w:space="0" w:color="auto" w:frame="1"/>
          <w:lang w:eastAsia="fr-FR"/>
        </w:rPr>
        <w:t>415 - Développement des capacités d'orientation, d'insertion ou de réinsertion sociales et professionnelles</w:t>
      </w:r>
    </w:p>
    <w:p w:rsidR="0055230D" w:rsidRPr="0055230D" w:rsidRDefault="0055230D" w:rsidP="0055230D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55230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fr-FR"/>
        </w:rPr>
        <w:t xml:space="preserve">8 </w:t>
      </w:r>
      <w:proofErr w:type="spellStart"/>
      <w:r w:rsidRPr="0055230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fr-FR"/>
        </w:rPr>
        <w:t>formacode</w:t>
      </w:r>
      <w:proofErr w:type="spellEnd"/>
      <w:r w:rsidRPr="0055230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fr-FR"/>
        </w:rPr>
        <w:t>(s) pour ce code NSF</w:t>
      </w:r>
    </w:p>
    <w:p w:rsidR="0055230D" w:rsidRPr="0055230D" w:rsidRDefault="00EB51D4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8" w:history="1">
        <w:r w:rsidR="0055230D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adaptation sociale 15031</w:t>
        </w:r>
      </w:hyperlink>
    </w:p>
    <w:p w:rsidR="0055230D" w:rsidRPr="0055230D" w:rsidRDefault="00EB51D4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9" w:history="1">
        <w:r w:rsidR="0055230D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préparation retraite 15048</w:t>
        </w:r>
      </w:hyperlink>
    </w:p>
    <w:p w:rsidR="0055230D" w:rsidRPr="0055230D" w:rsidRDefault="00EB51D4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0" w:history="1">
        <w:r w:rsidR="0055230D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accompagnement vers emploi 15061</w:t>
        </w:r>
      </w:hyperlink>
    </w:p>
    <w:p w:rsidR="0055230D" w:rsidRPr="0055230D" w:rsidRDefault="00EB51D4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1" w:history="1">
        <w:r w:rsidR="0055230D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orientation professionnelle 15062</w:t>
        </w:r>
      </w:hyperlink>
    </w:p>
    <w:p w:rsidR="0055230D" w:rsidRPr="0055230D" w:rsidRDefault="00EB51D4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2" w:history="1">
        <w:r w:rsidR="0055230D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préparation VAE 15064</w:t>
        </w:r>
      </w:hyperlink>
    </w:p>
    <w:p w:rsidR="0055230D" w:rsidRPr="0055230D" w:rsidRDefault="00EB51D4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3" w:history="1">
        <w:r w:rsidR="0055230D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technique recherche emploi 15070</w:t>
        </w:r>
      </w:hyperlink>
    </w:p>
    <w:p w:rsidR="0055230D" w:rsidRPr="0055230D" w:rsidRDefault="00EB51D4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4" w:history="1">
        <w:r w:rsidR="0055230D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bilan professionnel 15081</w:t>
        </w:r>
      </w:hyperlink>
    </w:p>
    <w:p w:rsidR="0055230D" w:rsidRDefault="00EB51D4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5" w:history="1">
        <w:r w:rsidR="0055230D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gestion carrière personnelle 15091</w:t>
        </w:r>
      </w:hyperlink>
    </w:p>
    <w:p w:rsidR="00A24A76" w:rsidRPr="0055230D" w:rsidRDefault="00EB51D4" w:rsidP="00A24A76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6" w:history="1">
        <w:r w:rsidR="00A24A76"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préparation retraite 15048</w:t>
        </w:r>
      </w:hyperlink>
    </w:p>
    <w:p w:rsidR="0055230D" w:rsidRPr="00A24A76" w:rsidRDefault="0055230D" w:rsidP="00A24A76">
      <w:pPr>
        <w:spacing w:after="0" w:line="240" w:lineRule="auto"/>
        <w:rPr>
          <w:rFonts w:cstheme="minorHAnsi"/>
        </w:rPr>
      </w:pPr>
    </w:p>
    <w:p w:rsidR="0055230D" w:rsidRPr="00A24A76" w:rsidRDefault="0055230D" w:rsidP="00AC5395">
      <w:pPr>
        <w:spacing w:after="0" w:line="240" w:lineRule="auto"/>
        <w:rPr>
          <w:rFonts w:cstheme="minorHAnsi"/>
        </w:rPr>
      </w:pPr>
    </w:p>
    <w:p w:rsidR="00AC5395" w:rsidRPr="00A24A76" w:rsidRDefault="00AC5395" w:rsidP="00AC5395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412 - Développement des capacités mentales et apprentissages de base</w:t>
      </w:r>
    </w:p>
    <w:p w:rsidR="00AC5395" w:rsidRPr="00A24A76" w:rsidRDefault="00AC5395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423 - Vie familiale, vie sociale et autres formations au développement personnel</w:t>
      </w:r>
    </w:p>
    <w:p w:rsidR="00795A70" w:rsidRPr="00A24A76" w:rsidRDefault="00795A70" w:rsidP="0005154A">
      <w:pPr>
        <w:spacing w:after="0" w:line="240" w:lineRule="auto"/>
        <w:rPr>
          <w:rFonts w:cstheme="minorHAnsi"/>
        </w:rPr>
      </w:pPr>
    </w:p>
    <w:p w:rsidR="00E01F07" w:rsidRPr="00A24A76" w:rsidRDefault="00E01F07" w:rsidP="0005154A">
      <w:pPr>
        <w:spacing w:after="0" w:line="240" w:lineRule="auto"/>
        <w:rPr>
          <w:rFonts w:cstheme="minorHAnsi"/>
          <w:b/>
        </w:rPr>
      </w:pPr>
      <w:r w:rsidRPr="00A24A76">
        <w:rPr>
          <w:rFonts w:cstheme="minorHAnsi"/>
          <w:b/>
        </w:rPr>
        <w:t>Santé et risque psychosocial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15081 – Bilan Professionnel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15096 – Développement de la mémoire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15054 – Développement personnel et professionnel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15066 – Efficacité personnelle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15020 – Evaluation personnalité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15097 – Gestion du stress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15078 – Intelligence émotionnelle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32039 – Management situationnel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32045 – Management transversal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15062 – Orientation professionnelle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15048 – Préparation retraite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42876 – Risque psychosocial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43444 – Sophrologie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44595 – Technique d’orientation professionnelle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43425 – Thérapie alternative</w:t>
      </w:r>
    </w:p>
    <w:p w:rsidR="00E01F07" w:rsidRDefault="00E01F07" w:rsidP="0005154A">
      <w:pPr>
        <w:spacing w:after="0" w:line="240" w:lineRule="auto"/>
      </w:pPr>
    </w:p>
    <w:sectPr w:rsidR="00E01F07" w:rsidSect="00F67B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07" w:right="1417" w:bottom="1417" w:left="1417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D4" w:rsidRDefault="00EB51D4" w:rsidP="00AC4BA2">
      <w:pPr>
        <w:spacing w:after="0" w:line="240" w:lineRule="auto"/>
      </w:pPr>
      <w:r>
        <w:separator/>
      </w:r>
    </w:p>
  </w:endnote>
  <w:endnote w:type="continuationSeparator" w:id="0">
    <w:p w:rsidR="00EB51D4" w:rsidRDefault="00EB51D4" w:rsidP="00A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35" w:rsidRDefault="00F67B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A2" w:rsidRPr="00AC4BA2" w:rsidRDefault="00AC4BA2" w:rsidP="00AC4BA2">
    <w:pPr>
      <w:pStyle w:val="Pieddepage"/>
      <w:spacing w:before="100" w:after="100"/>
      <w:ind w:right="360"/>
      <w:jc w:val="center"/>
      <w:rPr>
        <w:rFonts w:eastAsia="Arial Unicode MS" w:cstheme="minorHAnsi"/>
        <w:color w:val="808080"/>
        <w:sz w:val="18"/>
        <w:szCs w:val="18"/>
      </w:rPr>
    </w:pPr>
    <w:r w:rsidRPr="00C75DD7">
      <w:rPr>
        <w:rFonts w:cstheme="minorHAnsi"/>
        <w:noProof/>
        <w:color w:val="808080"/>
        <w:sz w:val="18"/>
        <w:szCs w:val="18"/>
      </w:rPr>
      <w:t>Société SOPHROKHEPRI</w:t>
    </w:r>
    <w:r w:rsidRPr="00C75DD7">
      <w:rPr>
        <w:rFonts w:cstheme="minorHAnsi"/>
        <w:color w:val="808080"/>
        <w:sz w:val="18"/>
        <w:szCs w:val="18"/>
      </w:rPr>
      <w:t xml:space="preserve"> – SAS au capital de 10 000 € </w:t>
    </w:r>
    <w:r>
      <w:rPr>
        <w:rFonts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cstheme="minorHAnsi"/>
        <w:color w:val="808080"/>
        <w:sz w:val="18"/>
        <w:szCs w:val="18"/>
      </w:rPr>
      <w:t>APE 8690F</w:t>
    </w:r>
    <w:r w:rsidRPr="00C75DD7">
      <w:rPr>
        <w:rFonts w:cstheme="minorHAnsi"/>
        <w:color w:val="808080"/>
        <w:sz w:val="18"/>
        <w:szCs w:val="18"/>
      </w:rPr>
      <w:br/>
      <w:t>188 GR rue Charles de Gaulle -  94130 NOGENT SUR MARNE - Tél. :+33 (0)</w:t>
    </w:r>
    <w:r>
      <w:rPr>
        <w:rFonts w:cstheme="minorHAnsi"/>
        <w:color w:val="808080"/>
        <w:sz w:val="18"/>
        <w:szCs w:val="18"/>
      </w:rPr>
      <w:t>1 84 25 22 87</w:t>
    </w:r>
    <w:bookmarkStart w:id="0" w:name="_GoBack"/>
    <w:bookmarkEnd w:id="0"/>
    <w:r>
      <w:rPr>
        <w:rFonts w:cstheme="minorHAnsi"/>
        <w:color w:val="808080"/>
        <w:sz w:val="18"/>
        <w:szCs w:val="18"/>
      </w:rPr>
      <w:br/>
    </w:r>
    <w:r w:rsidRPr="00C75DD7">
      <w:rPr>
        <w:rFonts w:cstheme="minorHAnsi"/>
        <w:color w:val="808080"/>
        <w:sz w:val="18"/>
        <w:szCs w:val="18"/>
      </w:rPr>
      <w:t xml:space="preserve">N° TVA </w:t>
    </w:r>
    <w:r>
      <w:rPr>
        <w:rFonts w:cstheme="minorHAnsi"/>
        <w:color w:val="7F7F7F"/>
        <w:sz w:val="18"/>
        <w:szCs w:val="18"/>
      </w:rPr>
      <w:t xml:space="preserve">FR </w:t>
    </w:r>
    <w:r w:rsidRPr="00C75DD7">
      <w:rPr>
        <w:rFonts w:cstheme="minorHAnsi"/>
        <w:color w:val="7F7F7F"/>
        <w:sz w:val="18"/>
        <w:szCs w:val="18"/>
      </w:rPr>
      <w:t>89811445410</w:t>
    </w:r>
    <w:r w:rsidRPr="00C75DD7">
      <w:rPr>
        <w:rFonts w:cstheme="minorHAnsi"/>
        <w:color w:val="808080"/>
        <w:sz w:val="18"/>
        <w:szCs w:val="18"/>
      </w:rPr>
      <w:t>- N° Formateur 11940951494</w:t>
    </w:r>
    <w:r>
      <w:rPr>
        <w:rFonts w:cstheme="minorHAnsi"/>
        <w:color w:val="808080"/>
        <w:sz w:val="18"/>
        <w:szCs w:val="18"/>
      </w:rPr>
      <w:t xml:space="preserve"> – id-Data-Dock </w:t>
    </w:r>
    <w:r w:rsidRPr="00C75DD7">
      <w:rPr>
        <w:rFonts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35" w:rsidRDefault="00F67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D4" w:rsidRDefault="00EB51D4" w:rsidP="00AC4BA2">
      <w:pPr>
        <w:spacing w:after="0" w:line="240" w:lineRule="auto"/>
      </w:pPr>
      <w:r>
        <w:separator/>
      </w:r>
    </w:p>
  </w:footnote>
  <w:footnote w:type="continuationSeparator" w:id="0">
    <w:p w:rsidR="00EB51D4" w:rsidRDefault="00EB51D4" w:rsidP="00AC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35" w:rsidRDefault="00F67B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0D415B" wp14:editId="739109DC">
          <wp:simplePos x="0" y="0"/>
          <wp:positionH relativeFrom="column">
            <wp:posOffset>-396240</wp:posOffset>
          </wp:positionH>
          <wp:positionV relativeFrom="paragraph">
            <wp:posOffset>67945</wp:posOffset>
          </wp:positionV>
          <wp:extent cx="2374900" cy="646430"/>
          <wp:effectExtent l="0" t="0" r="6350" b="127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9BB17E3" wp14:editId="5990334F">
          <wp:simplePos x="0" y="0"/>
          <wp:positionH relativeFrom="column">
            <wp:posOffset>5015865</wp:posOffset>
          </wp:positionH>
          <wp:positionV relativeFrom="paragraph">
            <wp:posOffset>-201930</wp:posOffset>
          </wp:positionV>
          <wp:extent cx="784860" cy="846455"/>
          <wp:effectExtent l="0" t="0" r="0" b="0"/>
          <wp:wrapSquare wrapText="bothSides"/>
          <wp:docPr id="2" name="Image 2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F67B35" w:rsidRPr="00F67B35" w:rsidRDefault="00F67B35" w:rsidP="00F67B35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24"/>
        <w:szCs w:val="24"/>
      </w:rPr>
    </w:pP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"Santé et qualité de vie au travail"</w:t>
    </w:r>
    <w:r w:rsidRPr="00F67B35">
      <w:rPr>
        <w:rFonts w:ascii="HelveticaNeue-Bold" w:hAnsi="HelveticaNeue-Bold" w:cs="HelveticaNeue-Bold"/>
        <w:b/>
        <w:bCs/>
        <w:color w:val="000000"/>
        <w:sz w:val="24"/>
        <w:szCs w:val="24"/>
      </w:rPr>
      <w:br/>
    </w: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AC4BA2" w:rsidRDefault="00AC4BA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35" w:rsidRDefault="00F67B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7329"/>
    <w:multiLevelType w:val="multilevel"/>
    <w:tmpl w:val="65781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82A94"/>
    <w:multiLevelType w:val="hybridMultilevel"/>
    <w:tmpl w:val="A04ADCE8"/>
    <w:lvl w:ilvl="0" w:tplc="D71E260A">
      <w:start w:val="4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84994"/>
    <w:multiLevelType w:val="multilevel"/>
    <w:tmpl w:val="13F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604F7"/>
    <w:multiLevelType w:val="multilevel"/>
    <w:tmpl w:val="4E9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95"/>
    <w:rsid w:val="0005154A"/>
    <w:rsid w:val="00175A3D"/>
    <w:rsid w:val="004B651A"/>
    <w:rsid w:val="004D4808"/>
    <w:rsid w:val="0055230D"/>
    <w:rsid w:val="00582520"/>
    <w:rsid w:val="00795A70"/>
    <w:rsid w:val="00815AEF"/>
    <w:rsid w:val="009B6FF8"/>
    <w:rsid w:val="00A24A76"/>
    <w:rsid w:val="00AC4BA2"/>
    <w:rsid w:val="00AC5395"/>
    <w:rsid w:val="00BB171B"/>
    <w:rsid w:val="00E01F07"/>
    <w:rsid w:val="00EB51D4"/>
    <w:rsid w:val="00EF6E44"/>
    <w:rsid w:val="00F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52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5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A2"/>
  </w:style>
  <w:style w:type="paragraph" w:styleId="Pieddepage">
    <w:name w:val="footer"/>
    <w:basedOn w:val="Normal"/>
    <w:link w:val="PieddepageCar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4BA2"/>
  </w:style>
  <w:style w:type="paragraph" w:styleId="Textedebulles">
    <w:name w:val="Balloon Text"/>
    <w:basedOn w:val="Normal"/>
    <w:link w:val="TextedebullesCar"/>
    <w:uiPriority w:val="99"/>
    <w:semiHidden/>
    <w:unhideWhenUsed/>
    <w:rsid w:val="005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3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23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52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5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A2"/>
  </w:style>
  <w:style w:type="paragraph" w:styleId="Pieddepage">
    <w:name w:val="footer"/>
    <w:basedOn w:val="Normal"/>
    <w:link w:val="PieddepageCar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4BA2"/>
  </w:style>
  <w:style w:type="paragraph" w:styleId="Textedebulles">
    <w:name w:val="Balloon Text"/>
    <w:basedOn w:val="Normal"/>
    <w:link w:val="TextedebullesCar"/>
    <w:uiPriority w:val="99"/>
    <w:semiHidden/>
    <w:unhideWhenUsed/>
    <w:rsid w:val="005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3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23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  <w:div w:id="2291953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</w:divsChild>
    </w:div>
    <w:div w:id="1871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code.centre-inffo.fr/spip.php?page=thesaurus&amp;fcd_code=15031" TargetMode="External"/><Relationship Id="rId13" Type="http://schemas.openxmlformats.org/officeDocument/2006/relationships/hyperlink" Target="https://formacode.centre-inffo.fr/spip.php?page=thesaurus&amp;fcd_code=15070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formacode.centre-inffo.fr/spip.php?page=thesaurus&amp;fcd_code=1506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ormacode.centre-inffo.fr/spip.php?page=thesaurus&amp;fcd_code=1504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acode.centre-inffo.fr/spip.php?page=thesaurus&amp;fcd_code=1506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acode.centre-inffo.fr/spip.php?page=thesaurus&amp;fcd_code=150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acode.centre-inffo.fr/spip.php?page=thesaurus&amp;fcd_code=1506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acode.centre-inffo.fr/spip.php?page=thesaurus&amp;fcd_code=15048" TargetMode="External"/><Relationship Id="rId14" Type="http://schemas.openxmlformats.org/officeDocument/2006/relationships/hyperlink" Target="https://formacode.centre-inffo.fr/spip.php?page=thesaurus&amp;fcd_code=1508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2018-05-06T20:45:00Z</cp:lastPrinted>
  <dcterms:created xsi:type="dcterms:W3CDTF">2018-05-06T19:36:00Z</dcterms:created>
  <dcterms:modified xsi:type="dcterms:W3CDTF">2018-05-06T20:45:00Z</dcterms:modified>
</cp:coreProperties>
</file>