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Default="00401E15">
      <w:pPr>
        <w:pStyle w:val="Normal1"/>
        <w:rPr>
          <w:rFonts w:ascii="Helvetica Neue" w:eastAsia="Helvetica Neue" w:hAnsi="Helvetica Neue" w:cs="Helvetica Neue"/>
          <w:sz w:val="22"/>
          <w:szCs w:val="22"/>
        </w:rPr>
      </w:pPr>
      <w:bookmarkStart w:id="0" w:name="_GoBack"/>
      <w:bookmarkEnd w:id="0"/>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E55109">
        <w:rPr>
          <w:rFonts w:ascii="Helvetica Neue" w:eastAsia="Helvetica Neue" w:hAnsi="Helvetica Neue" w:cs="Helvetica Neue"/>
          <w:b/>
          <w:sz w:val="28"/>
          <w:szCs w:val="28"/>
        </w:rPr>
        <w:t>Devenir Praticien EFT</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1" w:name="_gjdgxs" w:colFirst="0" w:colLast="0"/>
      <w:bookmarkEnd w:id="1"/>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2" w:name="_30j0zll" w:colFirst="0" w:colLast="0"/>
      <w:bookmarkEnd w:id="2"/>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1fob9te" w:colFirst="0" w:colLast="0"/>
      <w:bookmarkEnd w:id="3"/>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6F7FB0">
        <w:rPr>
          <w:rFonts w:ascii="Helvetica Neue" w:eastAsia="Helvetica Neue" w:hAnsi="Helvetica Neue" w:cs="Helvetica Neue"/>
          <w:sz w:val="22"/>
          <w:szCs w:val="22"/>
        </w:rPr>
        <w:t>Stroubante</w:t>
      </w:r>
      <w:r>
        <w:rPr>
          <w:rFonts w:ascii="Helvetica Neue" w:eastAsia="Helvetica Neue" w:hAnsi="Helvetica Neue" w:cs="Helvetica Neue"/>
          <w:sz w:val="22"/>
          <w:szCs w:val="22"/>
        </w:rPr>
        <w:t xml:space="preserve">                           Prénom</w:t>
      </w:r>
      <w:r w:rsidR="006F7FB0">
        <w:rPr>
          <w:rFonts w:ascii="Helvetica Neue" w:eastAsia="Helvetica Neue" w:hAnsi="Helvetica Neue" w:cs="Helvetica Neue"/>
          <w:sz w:val="22"/>
          <w:szCs w:val="22"/>
        </w:rPr>
        <w:t xml:space="preserve">       Laurence</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1921E2">
        <w:rPr>
          <w:rFonts w:ascii="Helvetica Neue" w:eastAsia="Helvetica Neue" w:hAnsi="Helvetica Neue" w:cs="Helvetica Neue"/>
          <w:sz w:val="22"/>
          <w:szCs w:val="22"/>
        </w:rPr>
        <w:t>1 Avenue Anatole France 84000 AVIGNON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sz w:val="20"/>
          <w:szCs w:val="20"/>
        </w:rPr>
        <w:t>,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D012A3">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0C7051" w:rsidRDefault="000C7051">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0C7051" w:rsidRDefault="000C7051">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4" w:name="_3znysh7" w:colFirst="0" w:colLast="0"/>
      <w:bookmarkEnd w:id="4"/>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E55109">
        <w:rPr>
          <w:rFonts w:ascii="Helvetica Neue" w:eastAsia="Helvetica Neue" w:hAnsi="Helvetica Neue" w:cs="Helvetica Neue"/>
          <w:b/>
          <w:sz w:val="20"/>
          <w:szCs w:val="20"/>
        </w:rPr>
        <w:t>Devenir Praticien EFT</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par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E55109">
        <w:rPr>
          <w:rFonts w:ascii="Helvetica Neue" w:eastAsia="Helvetica Neue" w:hAnsi="Helvetica Neue" w:cs="Helvetica Neue"/>
          <w:b/>
          <w:sz w:val="20"/>
          <w:szCs w:val="20"/>
        </w:rPr>
        <w:t>Devenir Praticien EFT</w:t>
      </w:r>
      <w:r>
        <w:rPr>
          <w:rFonts w:ascii="Helvetica Neue" w:eastAsia="Helvetica Neue" w:hAnsi="Helvetica Neue" w:cs="Helvetica Neue"/>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est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113176" w:rsidRDefault="0011317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w:t>
      </w: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La formation est décomposée en deux parties, l’une théorique, l’autre pra</w:t>
      </w:r>
      <w:r w:rsidR="001921E2">
        <w:rPr>
          <w:rFonts w:ascii="Helvetica Neue" w:eastAsia="Helvetica Neue" w:hAnsi="Helvetica Neue" w:cs="Helvetica Neue"/>
          <w:sz w:val="20"/>
          <w:szCs w:val="20"/>
        </w:rPr>
        <w:t>tique d’une durée de 42 heures</w:t>
      </w: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rsidP="00DA3DA3">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173</w:t>
            </w:r>
            <w:r w:rsidR="00401E15">
              <w:rPr>
                <w:rFonts w:ascii="PT Sans" w:eastAsia="PT Sans" w:hAnsi="PT Sans" w:cs="PT Sans"/>
                <w:sz w:val="20"/>
                <w:szCs w:val="20"/>
              </w:rPr>
              <w:t>,00 €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A3DA3">
            <w:pPr>
              <w:pStyle w:val="Normal1"/>
              <w:jc w:val="center"/>
            </w:pPr>
            <w:r>
              <w:rPr>
                <w:rFonts w:ascii="PT Sans" w:eastAsia="PT Sans" w:hAnsi="PT Sans" w:cs="PT Sans"/>
                <w:sz w:val="20"/>
                <w:szCs w:val="20"/>
              </w:rPr>
              <w:t>1040</w:t>
            </w:r>
            <w:r w:rsidR="00401E15">
              <w:rPr>
                <w:rFonts w:ascii="PT Sans" w:eastAsia="PT Sans" w:hAnsi="PT Sans" w:cs="PT Sans"/>
                <w:sz w:val="20"/>
                <w:szCs w:val="20"/>
              </w:rPr>
              <w:t>,00 €</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D012A3">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" strokecolor="#7f7f7f">
                <v:textbox inset="1.26875mm,1.26875mm,1.26875mm,1.26875mm">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3886200</wp:posOffset>
                </wp:positionH>
                <wp:positionV relativeFrom="paragraph">
                  <wp:posOffset>0</wp:posOffset>
                </wp:positionV>
                <wp:extent cx="2419350" cy="1457325"/>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6pt;margin-top:0;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" strokecolor="#7f7f7f">
                <v:textbox inset="1.26875mm,1.26875mm,1.26875mm,1.26875mm">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6F7FB0">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Stroubante Laurence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1921E2">
        <w:rPr>
          <w:rFonts w:ascii="Helvetica Neue" w:eastAsia="Helvetica Neue" w:hAnsi="Helvetica Neue" w:cs="Helvetica Neue"/>
          <w:b/>
          <w:sz w:val="20"/>
          <w:szCs w:val="20"/>
        </w:rPr>
        <w:t>Devenir Praticien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F7FB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Stroubante Laurence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E5510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18 au 23 décembre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Tout personnel de santé en lien avec des tiers souffrant de stress, en gestion des Risques Psycho sociaux et  prévention de burn-out</w:t>
            </w:r>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E5510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Devenir Praticien EFT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enjeux du stress :</w:t>
      </w:r>
      <w:r>
        <w:rPr>
          <w:rFonts w:ascii="Arial" w:eastAsia="Arial" w:hAnsi="Arial" w:cs="Arial"/>
          <w:b/>
          <w:sz w:val="22"/>
          <w:szCs w:val="22"/>
        </w:rPr>
        <w:t xml:space="preserve"> (7h)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ajuster son comportement face aux situations stressantes. Le but de cette journée est d’aider le stagiaire à mieux se connaître pour également mieux connaitre les autres et ainsi maîtriser la pratique de l’EFT par la suite.</w:t>
      </w:r>
    </w:p>
    <w:p w:rsidR="004D7085" w:rsidRDefault="004D7085">
      <w:pPr>
        <w:pStyle w:val="Normal1"/>
        <w:ind w:right="1054"/>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Le cadre de références.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3 : Attitude mentale positive</w:t>
      </w:r>
    </w:p>
    <w:p w:rsidR="004D7085" w:rsidRDefault="00401E15">
      <w:pPr>
        <w:pStyle w:val="Normal1"/>
        <w:numPr>
          <w:ilvl w:val="0"/>
          <w:numId w:val="30"/>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rPr>
          <w:rFonts w:ascii="Arial" w:eastAsia="Arial" w:hAnsi="Arial" w:cs="Arial"/>
          <w:sz w:val="22"/>
          <w:szCs w:val="22"/>
        </w:rPr>
      </w:pPr>
      <w:r>
        <w:rPr>
          <w:rFonts w:ascii="Arial" w:eastAsia="Arial" w:hAnsi="Arial" w:cs="Arial"/>
          <w:sz w:val="22"/>
          <w:szCs w:val="22"/>
        </w:rPr>
        <w:tab/>
      </w: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D7085" w:rsidRDefault="004D7085">
      <w:pPr>
        <w:pStyle w:val="Normal1"/>
        <w:spacing w:line="36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D7085" w:rsidRDefault="00401E15">
      <w:pPr>
        <w:pStyle w:val="Normal1"/>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4D7085" w:rsidRDefault="004D7085">
      <w:pPr>
        <w:pStyle w:val="Normal1"/>
        <w:spacing w:line="360" w:lineRule="auto"/>
        <w:ind w:left="720" w:right="1054"/>
        <w:jc w:val="both"/>
        <w:rPr>
          <w:rFonts w:ascii="Arial" w:eastAsia="Arial" w:hAnsi="Arial" w:cs="Arial"/>
          <w:sz w:val="22"/>
          <w:szCs w:val="22"/>
        </w:rPr>
      </w:pP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6 : Liaisons entre stress et réactions corporelles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2 : Mettre en œuvre ses compétences et son potentiel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4D7085" w:rsidRDefault="004D7085">
      <w:pPr>
        <w:pStyle w:val="Normal1"/>
        <w:spacing w:before="100" w:after="100"/>
        <w:ind w:right="1054"/>
        <w:rPr>
          <w:rFonts w:ascii="Arial" w:eastAsia="Arial" w:hAnsi="Arial" w:cs="Arial"/>
          <w:sz w:val="22"/>
          <w:szCs w:val="22"/>
        </w:rPr>
      </w:pPr>
    </w:p>
    <w:p w:rsidR="004D7085" w:rsidRDefault="00401E15">
      <w:pPr>
        <w:pStyle w:val="Normal1"/>
        <w:spacing w:before="100" w:after="100"/>
        <w:ind w:right="1054"/>
        <w:rPr>
          <w:rFonts w:ascii="Arial" w:eastAsia="Arial" w:hAnsi="Arial" w:cs="Arial"/>
          <w:sz w:val="22"/>
          <w:szCs w:val="22"/>
        </w:rPr>
      </w:pPr>
      <w:r>
        <w:rPr>
          <w:rFonts w:ascii="Arial" w:eastAsia="Arial" w:hAnsi="Arial" w:cs="Arial"/>
          <w:sz w:val="22"/>
          <w:szCs w:val="22"/>
        </w:rPr>
        <w:t>Chapitre 1 : L’attitude pour accompagner sereinement.</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4D7085" w:rsidRDefault="004D7085">
      <w:pPr>
        <w:pStyle w:val="Normal1"/>
        <w:spacing w:before="100" w:after="100" w:line="360" w:lineRule="auto"/>
        <w:ind w:left="720" w:right="1054" w:hanging="360"/>
        <w:rPr>
          <w:rFonts w:ascii="Arial" w:eastAsia="Arial" w:hAnsi="Arial" w:cs="Arial"/>
          <w:sz w:val="22"/>
          <w:szCs w:val="22"/>
        </w:rPr>
      </w:pPr>
    </w:p>
    <w:p w:rsidR="004D7085" w:rsidRDefault="00401E15">
      <w:pPr>
        <w:pStyle w:val="Normal1"/>
        <w:spacing w:before="100" w:after="100" w:line="360" w:lineRule="auto"/>
        <w:ind w:right="1054"/>
        <w:rPr>
          <w:rFonts w:ascii="Arial" w:eastAsia="Arial" w:hAnsi="Arial" w:cs="Arial"/>
          <w:sz w:val="22"/>
          <w:szCs w:val="22"/>
        </w:rPr>
      </w:pPr>
      <w:r>
        <w:rPr>
          <w:rFonts w:ascii="Arial" w:eastAsia="Arial" w:hAnsi="Arial" w:cs="Arial"/>
          <w:sz w:val="22"/>
          <w:szCs w:val="22"/>
        </w:rPr>
        <w:t>Chapitre 2 : La méthode EFT.</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4D7085" w:rsidRDefault="004D7085">
      <w:pPr>
        <w:pStyle w:val="Normal1"/>
        <w:spacing w:after="180" w:line="360" w:lineRule="auto"/>
        <w:ind w:left="720" w:right="1054"/>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3 : Renforcer la technicité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4D7085" w:rsidRDefault="004D7085">
      <w:pPr>
        <w:pStyle w:val="Normal1"/>
        <w:ind w:left="225" w:right="1054"/>
        <w:jc w:val="both"/>
        <w:rPr>
          <w:rFonts w:ascii="Arial" w:eastAsia="Arial" w:hAnsi="Arial" w:cs="Arial"/>
          <w:sz w:val="22"/>
          <w:szCs w:val="22"/>
        </w:rPr>
      </w:pPr>
    </w:p>
    <w:p w:rsidR="004D7085" w:rsidRDefault="00401E15">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p>
    <w:p w:rsidR="004D7085" w:rsidRDefault="004D7085">
      <w:pPr>
        <w:pStyle w:val="Normal1"/>
        <w:spacing w:line="360" w:lineRule="auto"/>
        <w:ind w:left="720" w:right="1054" w:hanging="360"/>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rsidP="00601E5B">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4D7085" w:rsidRDefault="004D7085">
      <w:pPr>
        <w:pStyle w:val="Normal1"/>
        <w:ind w:left="225" w:right="1054"/>
        <w:jc w:val="both"/>
        <w:rPr>
          <w:rFonts w:ascii="Arial" w:eastAsia="Arial" w:hAnsi="Arial" w:cs="Arial"/>
          <w:sz w:val="22"/>
          <w:szCs w:val="22"/>
        </w:rPr>
      </w:pPr>
    </w:p>
    <w:p w:rsidR="004D7085" w:rsidRDefault="00401E15" w:rsidP="00601E5B">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6"/>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4D7085" w:rsidRP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Les plans de défusion</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simple problème.</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problème complexe.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6 : Renforcer les techniques:</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ind w:right="1054"/>
        <w:jc w:val="both"/>
        <w:rPr>
          <w:rFonts w:ascii="Arial" w:eastAsia="Arial" w:hAnsi="Arial" w:cs="Arial"/>
          <w:sz w:val="22"/>
          <w:szCs w:val="22"/>
        </w:rPr>
      </w:pPr>
    </w:p>
    <w:p w:rsidR="004D7085" w:rsidRDefault="004D7085">
      <w:pPr>
        <w:pStyle w:val="Normal1"/>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D7085" w:rsidRDefault="004D7085">
      <w:pPr>
        <w:pStyle w:val="Normal1"/>
        <w:ind w:right="1054"/>
        <w:jc w:val="both"/>
        <w:rPr>
          <w:sz w:val="22"/>
          <w:szCs w:val="22"/>
        </w:rPr>
      </w:pPr>
    </w:p>
    <w:p w:rsidR="004D7085" w:rsidRDefault="00601E5B">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Q</w:t>
      </w:r>
      <w:r w:rsidR="00401E15">
        <w:rPr>
          <w:rFonts w:ascii="Arial" w:eastAsia="Arial" w:hAnsi="Arial" w:cs="Arial"/>
          <w:sz w:val="22"/>
          <w:szCs w:val="22"/>
        </w:rPr>
        <w:t>uelques subtilités</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D012A3">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D012A3">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65 Chemin de la Croix 26160 Portes en Valdaine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Burn-out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Sophro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Certificate of Achievement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toucher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(burn-out)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iLE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SOPHROKHEPRI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D012A3">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520700</wp:posOffset>
                </wp:positionH>
                <wp:positionV relativeFrom="paragraph">
                  <wp:posOffset>317500</wp:posOffset>
                </wp:positionV>
                <wp:extent cx="2371725" cy="1507451"/>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1pt;margin-top:25pt;width:186.75pt;height:118.7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" strokecolor="#7f7f7f">
                <v:textbox inset="1.26875mm,1.26875mm,1.26875mm,1.26875mm">
                  <w:txbxContent>
                    <w:p w:rsidR="000C7051" w:rsidRDefault="00D012A3">
                      <w:pPr>
                        <w:textDirection w:val="btLr"/>
                      </w:pPr>
                      <w:r>
                        <w:rPr>
                          <w:rFonts w:ascii="Calibri" w:eastAsia="Calibri" w:hAnsi="Calibri" w:cs="Calibri"/>
                          <w:b/>
                        </w:rPr>
                        <w:t>Pour l’Organisme de Formation</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3835400</wp:posOffset>
                </wp:positionH>
                <wp:positionV relativeFrom="paragraph">
                  <wp:posOffset>317500</wp:posOffset>
                </wp:positionV>
                <wp:extent cx="2270125" cy="1457325"/>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2pt;margin-top:25pt;width:178.75pt;height:114.75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" strokecolor="#7f7f7f">
                <v:textbox inset="1.26875mm,1.26875mm,1.26875mm,1.26875mm">
                  <w:txbxContent>
                    <w:p w:rsidR="000C7051" w:rsidRDefault="00D012A3">
                      <w:pPr>
                        <w:textDirection w:val="btLr"/>
                      </w:pPr>
                      <w:r>
                        <w:rPr>
                          <w:rFonts w:ascii="Calibri" w:eastAsia="Calibri" w:hAnsi="Calibri" w:cs="Calibri"/>
                          <w:b/>
                        </w:rPr>
                        <w:t>Pour le Bénéficiaire</w:t>
                      </w: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0C7051">
                      <w:pPr>
                        <w:textDirection w:val="btLr"/>
                      </w:pPr>
                    </w:p>
                    <w:p w:rsidR="000C7051" w:rsidRDefault="00D012A3">
                      <w:pPr>
                        <w:jc w:val="center"/>
                        <w:textDirection w:val="btLr"/>
                      </w:pPr>
                      <w:r>
                        <w:rPr>
                          <w:rFonts w:ascii="Helvetica Neue" w:eastAsia="Helvetica Neue" w:hAnsi="Helvetica Neue" w:cs="Helvetica Neue"/>
                          <w:sz w:val="20"/>
                        </w:rPr>
                        <w:t xml:space="preserve">…………………….., </w:t>
                      </w:r>
                    </w:p>
                    <w:p w:rsidR="000C7051" w:rsidRDefault="000C7051">
                      <w:pPr>
                        <w:jc w:val="center"/>
                        <w:textDirection w:val="btLr"/>
                      </w:pPr>
                    </w:p>
                    <w:p w:rsidR="000C7051" w:rsidRDefault="00D012A3">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2693"/>
        </w:tabs>
        <w:rPr>
          <w:rFonts w:ascii="Helvetica Neue" w:eastAsia="Helvetica Neue" w:hAnsi="Helvetica Neue" w:cs="Helvetica Neue"/>
          <w:b/>
          <w:smallCaps/>
          <w:sz w:val="32"/>
          <w:szCs w:val="32"/>
        </w:rPr>
      </w:pPr>
    </w:p>
    <w:p w:rsidR="004D7085" w:rsidRDefault="004D7085">
      <w:pPr>
        <w:pStyle w:val="Normal1"/>
        <w:tabs>
          <w:tab w:val="left" w:pos="220"/>
          <w:tab w:val="left" w:pos="720"/>
        </w:tabs>
        <w:jc w:val="both"/>
      </w:pPr>
      <w:bookmarkStart w:id="12" w:name="_3rdcrjn" w:colFirst="0" w:colLast="0"/>
      <w:bookmarkEnd w:id="12"/>
    </w:p>
    <w:sectPr w:rsidR="004D7085" w:rsidSect="004D708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A3" w:rsidRDefault="00D012A3" w:rsidP="004D7085">
      <w:r>
        <w:separator/>
      </w:r>
    </w:p>
  </w:endnote>
  <w:endnote w:type="continuationSeparator" w:id="0">
    <w:p w:rsidR="00D012A3" w:rsidRDefault="00D012A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01E15">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3" w:name="_26in1rg" w:colFirst="0" w:colLast="0"/>
    <w:bookmarkEnd w:id="13"/>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4D7085" w:rsidRDefault="00CD797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rsidR="00401E15">
      <w:instrText>PAGE</w:instrText>
    </w:r>
    <w:r>
      <w:fldChar w:fldCharType="separate"/>
    </w:r>
    <w:r w:rsidR="00E71ADE">
      <w:rPr>
        <w:noProof/>
      </w:rPr>
      <w:t>1</w:t>
    </w:r>
    <w:r>
      <w:fldChar w:fldCharType="end"/>
    </w:r>
    <w:r w:rsidR="00401E15">
      <w:rPr>
        <w:rFonts w:ascii="Helvetica Neue" w:eastAsia="Helvetica Neue" w:hAnsi="Helvetica Neue" w:cs="Helvetica Neue"/>
        <w:sz w:val="16"/>
        <w:szCs w:val="16"/>
      </w:rPr>
      <w:t xml:space="preserve"> sur </w:t>
    </w:r>
    <w:r>
      <w:fldChar w:fldCharType="begin"/>
    </w:r>
    <w:r w:rsidR="00401E15">
      <w:instrText>NUMPAGES</w:instrText>
    </w:r>
    <w:r>
      <w:fldChar w:fldCharType="separate"/>
    </w:r>
    <w:r w:rsidR="00E71ADE">
      <w:rPr>
        <w:noProof/>
      </w:rPr>
      <w:t>21</w:t>
    </w:r>
    <w:r>
      <w:fldChar w:fldCharType="end"/>
    </w:r>
  </w:p>
  <w:p w:rsidR="004D7085" w:rsidRDefault="004D7085">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A3" w:rsidRDefault="00D012A3" w:rsidP="004D7085">
      <w:r>
        <w:separator/>
      </w:r>
    </w:p>
  </w:footnote>
  <w:footnote w:type="continuationSeparator" w:id="0">
    <w:p w:rsidR="00D012A3" w:rsidRDefault="00D012A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4D7085" w:rsidRDefault="004D7085">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2"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5"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1"/>
  </w:num>
  <w:num w:numId="2">
    <w:abstractNumId w:val="8"/>
  </w:num>
  <w:num w:numId="3">
    <w:abstractNumId w:val="6"/>
  </w:num>
  <w:num w:numId="4">
    <w:abstractNumId w:val="2"/>
  </w:num>
  <w:num w:numId="5">
    <w:abstractNumId w:val="4"/>
  </w:num>
  <w:num w:numId="6">
    <w:abstractNumId w:val="24"/>
  </w:num>
  <w:num w:numId="7">
    <w:abstractNumId w:val="12"/>
  </w:num>
  <w:num w:numId="8">
    <w:abstractNumId w:val="10"/>
  </w:num>
  <w:num w:numId="9">
    <w:abstractNumId w:val="16"/>
  </w:num>
  <w:num w:numId="10">
    <w:abstractNumId w:val="5"/>
  </w:num>
  <w:num w:numId="11">
    <w:abstractNumId w:val="29"/>
  </w:num>
  <w:num w:numId="12">
    <w:abstractNumId w:val="0"/>
  </w:num>
  <w:num w:numId="13">
    <w:abstractNumId w:val="9"/>
  </w:num>
  <w:num w:numId="14">
    <w:abstractNumId w:val="17"/>
  </w:num>
  <w:num w:numId="15">
    <w:abstractNumId w:val="11"/>
  </w:num>
  <w:num w:numId="16">
    <w:abstractNumId w:val="18"/>
  </w:num>
  <w:num w:numId="17">
    <w:abstractNumId w:val="19"/>
  </w:num>
  <w:num w:numId="18">
    <w:abstractNumId w:val="13"/>
  </w:num>
  <w:num w:numId="19">
    <w:abstractNumId w:val="3"/>
  </w:num>
  <w:num w:numId="20">
    <w:abstractNumId w:val="23"/>
  </w:num>
  <w:num w:numId="21">
    <w:abstractNumId w:val="28"/>
  </w:num>
  <w:num w:numId="22">
    <w:abstractNumId w:val="15"/>
  </w:num>
  <w:num w:numId="23">
    <w:abstractNumId w:val="27"/>
  </w:num>
  <w:num w:numId="24">
    <w:abstractNumId w:val="7"/>
  </w:num>
  <w:num w:numId="25">
    <w:abstractNumId w:val="25"/>
  </w:num>
  <w:num w:numId="26">
    <w:abstractNumId w:val="1"/>
  </w:num>
  <w:num w:numId="27">
    <w:abstractNumId w:val="22"/>
  </w:num>
  <w:num w:numId="28">
    <w:abstractNumId w:val="14"/>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C7051"/>
    <w:rsid w:val="00113176"/>
    <w:rsid w:val="00130310"/>
    <w:rsid w:val="0015143F"/>
    <w:rsid w:val="001921E2"/>
    <w:rsid w:val="00366062"/>
    <w:rsid w:val="00386552"/>
    <w:rsid w:val="003B7688"/>
    <w:rsid w:val="003C766E"/>
    <w:rsid w:val="00401E15"/>
    <w:rsid w:val="004022D4"/>
    <w:rsid w:val="004D7085"/>
    <w:rsid w:val="00601E5B"/>
    <w:rsid w:val="0065244C"/>
    <w:rsid w:val="006F7FB0"/>
    <w:rsid w:val="00744CF6"/>
    <w:rsid w:val="008629B6"/>
    <w:rsid w:val="009A6B15"/>
    <w:rsid w:val="00A869E6"/>
    <w:rsid w:val="00AC2D62"/>
    <w:rsid w:val="00B64E5D"/>
    <w:rsid w:val="00C63F0F"/>
    <w:rsid w:val="00CD7970"/>
    <w:rsid w:val="00D012A3"/>
    <w:rsid w:val="00DA3DA3"/>
    <w:rsid w:val="00E55109"/>
    <w:rsid w:val="00E71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7FC2C-EE6B-4060-BC55-722A68B8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5534</Words>
  <Characters>30442</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2018-10-05T11:05:00Z</dcterms:created>
  <dcterms:modified xsi:type="dcterms:W3CDTF">2018-10-05T11:05:00Z</dcterms:modified>
</cp:coreProperties>
</file>