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1BA18ECE" w14:textId="77777777" w:rsidR="0032799B" w:rsidRDefault="0032799B" w:rsidP="002269F1">
      <w:pPr>
        <w:pStyle w:val="Corps"/>
        <w:spacing w:before="100" w:after="60"/>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41247564" w14:textId="3169E08C" w:rsidR="009358EC" w:rsidRPr="009358EC" w:rsidRDefault="009358EC" w:rsidP="009358EC">
      <w:pPr>
        <w:pStyle w:val="Style1"/>
        <w:pBdr>
          <w:top w:val="single" w:sz="8" w:space="0" w:color="000000"/>
          <w:bottom w:val="nil"/>
        </w:pBdr>
        <w:rPr>
          <w:rFonts w:ascii="Calibri" w:hAnsi="Calibri" w:cs="Calibri"/>
          <w:color w:val="365B9C"/>
          <w:sz w:val="16"/>
          <w:szCs w:val="16"/>
          <w:u w:color="4F81BD"/>
        </w:rPr>
      </w:pPr>
      <w:r>
        <w:rPr>
          <w:rFonts w:ascii="Calibri" w:hAnsi="Calibri" w:cs="Calibri"/>
          <w:color w:val="365B9C"/>
          <w:sz w:val="36"/>
          <w:szCs w:val="36"/>
          <w:u w:color="4F81BD"/>
        </w:rPr>
        <w:t>Contenu et déroulement du bilan de compétence</w:t>
      </w:r>
    </w:p>
    <w:p w14:paraId="45D8275C" w14:textId="77777777" w:rsidR="009358EC" w:rsidRPr="009358EC" w:rsidRDefault="009358EC" w:rsidP="009358EC">
      <w:pPr>
        <w:pStyle w:val="Style1"/>
        <w:pBdr>
          <w:top w:val="single" w:sz="8" w:space="0" w:color="000000"/>
          <w:bottom w:val="nil"/>
        </w:pBdr>
        <w:rPr>
          <w:rFonts w:ascii="Calibri" w:hAnsi="Calibri" w:cs="Calibri"/>
          <w:color w:val="365B9C"/>
          <w:sz w:val="16"/>
          <w:szCs w:val="16"/>
          <w:u w:color="4F81BD"/>
        </w:rPr>
      </w:pPr>
    </w:p>
    <w:p w14:paraId="46F88F4D" w14:textId="22C274F2"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607B7C21" w14:textId="75DFD603" w:rsidR="009358EC" w:rsidRDefault="009358EC">
      <w:pPr>
        <w:rPr>
          <w:rFonts w:ascii="Helvetica" w:eastAsia="Helvetica" w:hAnsi="Helvetica" w:cs="Helvetica"/>
          <w:b/>
          <w:bCs/>
          <w:color w:val="800000"/>
          <w:u w:color="800000"/>
          <w:lang w:val="fr-FR" w:eastAsia="fr-FR"/>
        </w:rPr>
      </w:pPr>
    </w:p>
    <w:p w14:paraId="2722212F" w14:textId="77777777" w:rsidR="009358EC" w:rsidRPr="009358EC" w:rsidRDefault="009358EC">
      <w:pPr>
        <w:rPr>
          <w:rFonts w:ascii="Helvetica" w:eastAsia="Helvetica" w:hAnsi="Helvetica" w:cs="Helvetica"/>
          <w:b/>
          <w:bCs/>
          <w:color w:val="800000"/>
          <w:u w:color="8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1FD94B18" w14:textId="1B2318A2"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r w:rsidR="007C001A">
        <w:rPr>
          <w:rStyle w:val="Aucun"/>
          <w:rFonts w:ascii="Calibri" w:eastAsia="Helvetica" w:hAnsi="Calibri" w:cs="Calibri"/>
          <w:sz w:val="22"/>
          <w:szCs w:val="22"/>
        </w:rPr>
        <w:t xml:space="preserve"> </w:t>
      </w: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A la pr</w:t>
      </w:r>
      <w:r w:rsidRPr="007F22B9">
        <w:rPr>
          <w:rStyle w:val="Aucun"/>
          <w:rFonts w:ascii="Calibri" w:hAnsi="Calibri" w:cs="Calibri"/>
          <w:sz w:val="22"/>
          <w:szCs w:val="22"/>
        </w:rPr>
        <w:t>é</w:t>
      </w:r>
      <w:r w:rsidR="00E97E08" w:rsidRPr="007F22B9">
        <w:rPr>
          <w:rFonts w:ascii="Calibri" w:hAnsi="Calibri" w:cs="Calibri"/>
          <w:sz w:val="22"/>
          <w:szCs w:val="22"/>
        </w:rPr>
        <w:t>formation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72515A6C" w14:textId="7CA74272" w:rsidR="009358EC" w:rsidRPr="00DD3369" w:rsidRDefault="009428FC" w:rsidP="00DD3369">
      <w:pPr>
        <w:pStyle w:val="Pardfaut"/>
        <w:numPr>
          <w:ilvl w:val="0"/>
          <w:numId w:val="36"/>
        </w:numPr>
        <w:rPr>
          <w:rStyle w:val="Aucun"/>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p>
    <w:p w14:paraId="3606D141" w14:textId="77777777" w:rsidR="009358EC" w:rsidRPr="007F22B9" w:rsidRDefault="009358EC">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60602740" w:rsidR="0032799B" w:rsidRPr="007F22B9" w:rsidRDefault="0032799B">
      <w:pPr>
        <w:pStyle w:val="Corps"/>
        <w:rPr>
          <w:rStyle w:val="Aucun"/>
          <w:rFonts w:ascii="Calibri" w:eastAsia="Helvetica" w:hAnsi="Calibri" w:cs="Calibri"/>
          <w:sz w:val="22"/>
          <w:szCs w:val="22"/>
        </w:rPr>
      </w:pP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Default="00E97E08">
      <w:pPr>
        <w:pStyle w:val="Corps"/>
        <w:rPr>
          <w:rFonts w:ascii="Calibri" w:eastAsia="Helvetica" w:hAnsi="Calibri" w:cs="Calibri"/>
          <w:b/>
          <w:bCs/>
          <w:sz w:val="22"/>
          <w:szCs w:val="22"/>
        </w:rPr>
      </w:pPr>
    </w:p>
    <w:p w14:paraId="37AD038E" w14:textId="77777777" w:rsidR="00DD3369" w:rsidRDefault="00DD3369">
      <w:pPr>
        <w:pStyle w:val="Corps"/>
        <w:rPr>
          <w:rFonts w:ascii="Calibri" w:eastAsia="Helvetica" w:hAnsi="Calibri" w:cs="Calibri"/>
          <w:b/>
          <w:bCs/>
          <w:sz w:val="22"/>
          <w:szCs w:val="22"/>
        </w:rPr>
      </w:pPr>
    </w:p>
    <w:p w14:paraId="036E270C" w14:textId="77777777" w:rsidR="00DD3369" w:rsidRPr="007F22B9" w:rsidRDefault="00DD3369">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79A1E0E1"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w:t>
      </w:r>
      <w:r w:rsidR="009358EC">
        <w:rPr>
          <w:rFonts w:ascii="Calibri" w:hAnsi="Calibri" w:cs="Calibri"/>
          <w:sz w:val="22"/>
          <w:szCs w:val="22"/>
        </w:rPr>
        <w:t xml:space="preserve">A partir </w:t>
      </w:r>
      <w:r w:rsidR="00DD5593" w:rsidRPr="007F22B9">
        <w:rPr>
          <w:rFonts w:ascii="Calibri" w:hAnsi="Calibri" w:cs="Calibri"/>
          <w:sz w:val="22"/>
          <w:szCs w:val="22"/>
        </w:rPr>
        <w:t xml:space="preserve">du </w:t>
      </w:r>
      <w:r w:rsidR="00933323">
        <w:rPr>
          <w:rFonts w:ascii="Calibri" w:hAnsi="Calibri" w:cs="Calibri"/>
          <w:sz w:val="22"/>
          <w:szCs w:val="22"/>
        </w:rPr>
        <w:t>05-01-2021</w:t>
      </w:r>
      <w:r w:rsidR="009358EC">
        <w:rPr>
          <w:rFonts w:ascii="Calibri" w:hAnsi="Calibri" w:cs="Calibri"/>
          <w:sz w:val="22"/>
          <w:szCs w:val="22"/>
        </w:rPr>
        <w:t xml:space="preserve"> </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0C6E802E" w14:textId="77777777" w:rsidR="009358EC" w:rsidRPr="007F22B9" w:rsidRDefault="009358EC" w:rsidP="009358EC">
      <w:pPr>
        <w:pStyle w:val="CorpsB"/>
        <w:tabs>
          <w:tab w:val="right" w:leader="dot" w:pos="9070"/>
        </w:tabs>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0"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0"/>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4A96D41E"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F55F2">
        <w:rPr>
          <w:rFonts w:ascii="Calibri" w:hAnsi="Calibri" w:cs="Calibri"/>
          <w:sz w:val="22"/>
          <w:szCs w:val="22"/>
        </w:rPr>
        <w:t>Pascale Baratay-Lhorte</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Default="0032799B">
      <w:pPr>
        <w:pStyle w:val="Corps"/>
        <w:ind w:left="360"/>
        <w:rPr>
          <w:rFonts w:ascii="Calibri" w:eastAsia="Helvetica" w:hAnsi="Calibri" w:cs="Calibri"/>
          <w:b/>
          <w:bCs/>
          <w:sz w:val="22"/>
          <w:szCs w:val="22"/>
          <w:u w:val="single"/>
        </w:rPr>
      </w:pPr>
    </w:p>
    <w:p w14:paraId="523D03A2" w14:textId="09C14D46" w:rsidR="009358EC" w:rsidRDefault="009358EC">
      <w:pPr>
        <w:rPr>
          <w:rFonts w:ascii="Calibri" w:eastAsia="Helvetica" w:hAnsi="Calibri" w:cs="Calibri"/>
          <w:b/>
          <w:bCs/>
          <w:color w:val="000000"/>
          <w:sz w:val="22"/>
          <w:szCs w:val="22"/>
          <w:u w:val="single" w:color="000000"/>
          <w:lang w:val="fr-FR" w:eastAsia="fr-FR"/>
        </w:rPr>
      </w:pPr>
      <w:r>
        <w:rPr>
          <w:rFonts w:ascii="Calibri" w:eastAsia="Helvetica" w:hAnsi="Calibri" w:cs="Calibri"/>
          <w:b/>
          <w:bCs/>
          <w:sz w:val="22"/>
          <w:szCs w:val="22"/>
          <w:u w:val="single"/>
        </w:rPr>
        <w:br w:type="page"/>
      </w:r>
    </w:p>
    <w:p w14:paraId="57BE2DBA" w14:textId="77777777" w:rsidR="009358EC" w:rsidRPr="007F22B9" w:rsidRDefault="009358EC">
      <w:pPr>
        <w:pStyle w:val="Corps"/>
        <w:ind w:left="360"/>
        <w:rPr>
          <w:rFonts w:ascii="Calibri" w:eastAsia="Helvetica" w:hAnsi="Calibri" w:cs="Calibri"/>
          <w:b/>
          <w:bCs/>
          <w:sz w:val="22"/>
          <w:szCs w:val="22"/>
          <w:u w:val="single"/>
        </w:rPr>
      </w:pPr>
    </w:p>
    <w:p w14:paraId="608FB67F" w14:textId="33DC9D46" w:rsidR="0032799B" w:rsidRPr="00A67EA6" w:rsidRDefault="009358EC">
      <w:pPr>
        <w:pStyle w:val="ANNEXES"/>
        <w:pBdr>
          <w:bottom w:val="single" w:sz="8" w:space="0" w:color="000000"/>
        </w:pBdr>
        <w:rPr>
          <w:rStyle w:val="Aucun"/>
          <w:rFonts w:ascii="Calibri" w:hAnsi="Calibri" w:cs="Calibri"/>
          <w:color w:val="4F81BD"/>
          <w:sz w:val="32"/>
          <w:szCs w:val="32"/>
          <w:u w:color="4F81BD"/>
        </w:rPr>
      </w:pPr>
      <w:r>
        <w:rPr>
          <w:rStyle w:val="Aucun"/>
          <w:rFonts w:ascii="Calibri" w:hAnsi="Calibri" w:cs="Calibri"/>
          <w:color w:val="365B9C"/>
          <w:sz w:val="32"/>
          <w:szCs w:val="32"/>
          <w:u w:color="4F81BD"/>
        </w:rPr>
        <w:t xml:space="preserve">Programme </w:t>
      </w:r>
      <w:r w:rsidR="00DD3369">
        <w:rPr>
          <w:rStyle w:val="Aucun"/>
          <w:rFonts w:ascii="Calibri" w:hAnsi="Calibri" w:cs="Calibri"/>
          <w:color w:val="365B9C"/>
          <w:sz w:val="32"/>
          <w:szCs w:val="32"/>
          <w:u w:color="4F81BD"/>
        </w:rPr>
        <w:t xml:space="preserve">détaillé </w:t>
      </w:r>
      <w:r>
        <w:rPr>
          <w:rStyle w:val="Aucun"/>
          <w:rFonts w:ascii="Calibri" w:hAnsi="Calibri" w:cs="Calibri"/>
          <w:color w:val="365B9C"/>
          <w:sz w:val="32"/>
          <w:szCs w:val="32"/>
          <w:u w:color="4F81BD"/>
        </w:rPr>
        <w:t>du bilan de compétence</w:t>
      </w:r>
    </w:p>
    <w:p w14:paraId="23A73B48" w14:textId="769C4733" w:rsidR="0032799B" w:rsidRPr="00A67EA6" w:rsidRDefault="0032799B" w:rsidP="009358E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rPr>
          <w:rStyle w:val="Aucun"/>
          <w:rFonts w:ascii="Calibri" w:eastAsia="Helvetica" w:hAnsi="Calibri" w:cs="Calibri"/>
        </w:rPr>
      </w:pP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218C5B81" w:rsidR="0032799B" w:rsidRPr="00A67EA6" w:rsidRDefault="0093332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Fonts w:ascii="Calibri" w:hAnsi="Calibri" w:cs="Calibri"/>
                <w:sz w:val="22"/>
                <w:szCs w:val="22"/>
              </w:rPr>
              <w:t>Vincent FROMONT</w:t>
            </w: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E3D8718" w:rsidR="0032799B" w:rsidRPr="00A67EA6" w:rsidRDefault="009358EC" w:rsidP="009358EC">
            <w:pPr>
              <w:pStyle w:val="Pardfaut"/>
              <w:rPr>
                <w:rFonts w:ascii="Calibri" w:hAnsi="Calibri" w:cs="Calibri"/>
              </w:rPr>
            </w:pPr>
            <w:r>
              <w:rPr>
                <w:rFonts w:ascii="Calibri" w:hAnsi="Calibri" w:cs="Calibri"/>
              </w:rPr>
              <w:t>La demande est faite à titre personnel</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6541D4E3" w:rsidR="0032799B" w:rsidRPr="00A67EA6" w:rsidRDefault="005D1A4E" w:rsidP="0093332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 xml:space="preserve">du </w:t>
            </w:r>
            <w:r w:rsidR="00933323">
              <w:rPr>
                <w:rFonts w:ascii="Calibri" w:hAnsi="Calibri" w:cs="Calibri"/>
                <w:sz w:val="22"/>
                <w:szCs w:val="22"/>
              </w:rPr>
              <w:t>5 JANVIER 2021 AU 28 MARS 2021</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D0644B"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11EABF0C" w:rsidR="0032799B" w:rsidRPr="00A67EA6" w:rsidRDefault="004A01F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Pr>
                <w:rStyle w:val="Aucun"/>
                <w:rFonts w:ascii="Calibri" w:hAnsi="Calibri" w:cs="Calibri"/>
                <w:sz w:val="22"/>
                <w:szCs w:val="22"/>
              </w:rPr>
              <w:t>Nom du formateur, coach</w:t>
            </w:r>
            <w:r w:rsidR="009428FC" w:rsidRPr="00A67EA6">
              <w:rPr>
                <w:rStyle w:val="Aucun"/>
                <w:rFonts w:ascii="Calibri" w:hAnsi="Calibri" w:cs="Calibri"/>
                <w:sz w:val="22"/>
                <w:szCs w:val="22"/>
              </w:rPr>
              <w:t xml:space="preserv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40610D14" w:rsidR="0032799B" w:rsidRPr="00A67EA6" w:rsidRDefault="00DD336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Fonts w:ascii="Calibri" w:hAnsi="Calibri" w:cs="Calibri"/>
                <w:sz w:val="22"/>
                <w:szCs w:val="22"/>
              </w:rPr>
              <w:t>Pascale Baratay-Lhorte</w:t>
            </w:r>
          </w:p>
        </w:tc>
      </w:tr>
      <w:tr w:rsidR="0032799B" w:rsidRPr="00D0644B"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bookmarkStart w:id="1" w:name="_GoBack"/>
        <w:bookmarkEnd w:id="1"/>
      </w:tr>
      <w:tr w:rsidR="0032799B" w:rsidRPr="00D0644B"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D0644B"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D0644B"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6D430564" w:rsidR="0032799B" w:rsidRPr="00A67EA6" w:rsidRDefault="00072860" w:rsidP="00226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w:t>
            </w:r>
            <w:r w:rsidR="002269F1">
              <w:rPr>
                <w:rFonts w:ascii="Calibri" w:hAnsi="Calibri" w:cs="Calibri"/>
                <w:color w:val="000000"/>
                <w:sz w:val="22"/>
                <w:szCs w:val="22"/>
                <w:u w:color="000000"/>
                <w:lang w:val="fr-FR"/>
              </w:rPr>
              <w:t>mises en situation : 14 heures pour des tests, questionnaires, entretiens et 10 h de recherche personnelle</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CE9CECD"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60AF8EF9"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4A0CD414"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6930D323"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1120D7AF"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33FF129E"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5B79FA28"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717ECAA9" w14:textId="77777777" w:rsidR="002269F1" w:rsidRDefault="002269F1" w:rsidP="00D11518">
      <w:pPr>
        <w:pStyle w:val="Corps"/>
        <w:ind w:left="567"/>
        <w:rPr>
          <w:rFonts w:ascii="Calibri" w:eastAsia="Helvetica" w:hAnsi="Calibri" w:cs="Calibri"/>
          <w:b/>
          <w:color w:val="2F5496" w:themeColor="accent5" w:themeShade="BF"/>
          <w:sz w:val="22"/>
          <w:szCs w:val="22"/>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r w:rsidR="00CC3A22" w:rsidRPr="00A67EA6">
        <w:rPr>
          <w:rStyle w:val="Aucun"/>
          <w:rFonts w:ascii="Calibri" w:hAnsi="Calibri" w:cs="Calibri"/>
          <w:b/>
          <w:bCs/>
          <w:sz w:val="22"/>
          <w:szCs w:val="22"/>
          <w:u w:color="E05529"/>
          <w:lang w:val="de-DE"/>
        </w:rPr>
        <w:t>Bilan de compétence</w:t>
      </w:r>
      <w:r w:rsidR="009E3A12" w:rsidRPr="00A67EA6">
        <w:rPr>
          <w:rStyle w:val="Aucun"/>
          <w:rFonts w:ascii="Calibri" w:hAnsi="Calibri" w:cs="Calibri"/>
          <w:b/>
          <w:bCs/>
          <w:sz w:val="22"/>
          <w:szCs w:val="22"/>
          <w:u w:color="E05529"/>
          <w:lang w:val="de-DE"/>
        </w:rPr>
        <w:t>s</w:t>
      </w:r>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7A74FA9D" w14:textId="167DBB6B" w:rsidR="00D11518" w:rsidRPr="00A67EA6" w:rsidRDefault="00D11518" w:rsidP="002269F1">
      <w:pPr>
        <w:pStyle w:val="Corps"/>
        <w:ind w:left="567"/>
        <w:rPr>
          <w:rFonts w:ascii="Calibri" w:eastAsia="Helvetica" w:hAnsi="Calibri" w:cs="Calibri"/>
          <w:sz w:val="22"/>
          <w:szCs w:val="22"/>
        </w:rPr>
      </w:pPr>
      <w:r w:rsidRPr="00A67EA6">
        <w:rPr>
          <w:rFonts w:ascii="Calibri" w:eastAsia="Helvetica" w:hAnsi="Calibri" w:cs="Calibri"/>
          <w:sz w:val="22"/>
          <w:szCs w:val="22"/>
        </w:rPr>
        <w:t>Le travail de réflexion et d’analyse mené au cours du travail permet de mieux se connaître : comprendre le fonctionnement et les ressorts de la motivation, identifier et savoir valoriser les ressources personnelles, les compétences, éventuellement repenser la relation au travail, pour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D0644B"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D0644B"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6AD533BA" w14:textId="77777777" w:rsidR="00D11518" w:rsidRPr="00A67EA6" w:rsidRDefault="00D11518">
      <w:pPr>
        <w:pStyle w:val="Corps"/>
        <w:rPr>
          <w:rFonts w:ascii="Calibri" w:hAnsi="Calibri" w:cs="Calibri"/>
          <w:sz w:val="22"/>
          <w:szCs w:val="22"/>
        </w:rPr>
      </w:pPr>
    </w:p>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D0644B"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sidRPr="00FC3220">
        <w:rPr>
          <w:rFonts w:ascii="Calibri" w:eastAsia="Helvetica" w:hAnsi="Calibri" w:cs="Calibri"/>
          <w:b/>
          <w:color w:val="4472C4" w:themeColor="accent5"/>
          <w:sz w:val="22"/>
          <w:szCs w:val="22"/>
          <w:lang w:val="fr-FR"/>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3F32B242" w14:textId="77777777" w:rsidR="002269F1" w:rsidRDefault="002269F1"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860D9A7" w:rsidR="00B25CE1" w:rsidRPr="00A67EA6" w:rsidRDefault="00017663" w:rsidP="00A67EA6">
      <w:pPr>
        <w:pStyle w:val="Corps"/>
        <w:ind w:left="720"/>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b</w:t>
      </w:r>
      <w:r w:rsidRPr="00A67EA6">
        <w:rPr>
          <w:rFonts w:ascii="Calibri" w:eastAsia="Helvetica" w:hAnsi="Calibri" w:cs="Calibri"/>
          <w:color w:val="000000" w:themeColor="text1"/>
          <w:sz w:val="22"/>
          <w:szCs w:val="22"/>
        </w:rPr>
        <w:t>énéficiaire</w:t>
      </w:r>
      <w:r w:rsidR="00B25CE1" w:rsidRPr="00A67EA6">
        <w:rPr>
          <w:rFonts w:ascii="Calibri" w:eastAsia="Helvetica" w:hAnsi="Calibri" w:cs="Calibri"/>
          <w:color w:val="000000" w:themeColor="text1"/>
          <w:sz w:val="22"/>
          <w:szCs w:val="22"/>
        </w:rPr>
        <w:t xml:space="preserv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internet d’exploration des métiers et des formations : par exemple : Onisep, Letudiant,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5D11D864" w14:textId="7BC01A3D" w:rsidR="0032799B" w:rsidRPr="004A01F8" w:rsidRDefault="00B25CE1" w:rsidP="002269F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bookmarkStart w:id="2" w:name="_f2qofbqxurqx"/>
      <w:bookmarkEnd w:id="2"/>
    </w:p>
    <w:sectPr w:rsidR="0032799B" w:rsidRPr="004A01F8" w:rsidSect="003F4D6B">
      <w:headerReference w:type="even" r:id="rId8"/>
      <w:headerReference w:type="default" r:id="rId9"/>
      <w:footerReference w:type="even" r:id="rId10"/>
      <w:footerReference w:type="default" r:id="rId11"/>
      <w:headerReference w:type="first" r:id="rId12"/>
      <w:footerReference w:type="first" r:id="rId13"/>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127C" w14:textId="77777777" w:rsidR="00C03502" w:rsidRDefault="00C03502">
      <w:r>
        <w:separator/>
      </w:r>
    </w:p>
  </w:endnote>
  <w:endnote w:type="continuationSeparator" w:id="0">
    <w:p w14:paraId="196F081E" w14:textId="77777777" w:rsidR="00C03502" w:rsidRDefault="00C0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D5D6" w14:textId="77777777" w:rsidR="00521DE6" w:rsidRDefault="00521D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42E64841"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3" w:name="_26in1rg" w:colFirst="0" w:colLast="0"/>
    <w:bookmarkEnd w:id="3"/>
    <w:r w:rsidRPr="00C36009">
      <w:rPr>
        <w:rFonts w:ascii="Calibri" w:eastAsia="PT Sans" w:hAnsi="Calibri" w:cs="Calibri"/>
        <w:color w:val="808080"/>
        <w:sz w:val="18"/>
        <w:szCs w:val="18"/>
      </w:rPr>
      <w:t xml:space="preserve">Société </w:t>
    </w:r>
    <w:r>
      <w:rPr>
        <w:rFonts w:ascii="Calibri" w:eastAsia="PT Sans" w:hAnsi="Calibri" w:cs="Calibri"/>
        <w:color w:val="808080"/>
        <w:sz w:val="18"/>
        <w:szCs w:val="18"/>
      </w:rPr>
      <w:t>KHEPRI FORMATION</w:t>
    </w:r>
    <w:r w:rsidRPr="00C36009">
      <w:rPr>
        <w:rFonts w:ascii="Calibri" w:eastAsia="PT Sans" w:hAnsi="Calibri" w:cs="Calibri"/>
        <w:color w:val="808080"/>
        <w:sz w:val="18"/>
        <w:szCs w:val="18"/>
      </w:rPr>
      <w:t xml:space="preserve">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4A01F8">
      <w:rPr>
        <w:rFonts w:ascii="Calibri" w:hAnsi="Calibri" w:cs="Calibri"/>
        <w:noProof/>
        <w:sz w:val="18"/>
        <w:szCs w:val="18"/>
      </w:rPr>
      <w:t>6</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4A01F8">
      <w:rPr>
        <w:rFonts w:ascii="Calibri" w:hAnsi="Calibri" w:cs="Calibri"/>
        <w:noProof/>
        <w:sz w:val="18"/>
        <w:szCs w:val="18"/>
      </w:rPr>
      <w:t>6</w:t>
    </w:r>
    <w:r w:rsidRPr="00C36009">
      <w:rPr>
        <w:rFonts w:ascii="Calibri" w:hAnsi="Calibri" w:cs="Calibri"/>
        <w:noProof/>
        <w:sz w:val="18"/>
        <w:szCs w:val="18"/>
      </w:rPr>
      <w:fldChar w:fldCharType="end"/>
    </w:r>
  </w:p>
  <w:p w14:paraId="7B43DCC9" w14:textId="77777777" w:rsidR="007F55F2" w:rsidRDefault="007F55F2">
    <w:pPr>
      <w:pStyle w:val="Corps"/>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2DC1" w14:textId="77777777" w:rsidR="00521DE6" w:rsidRDefault="00521D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ACEE" w14:textId="77777777" w:rsidR="00C03502" w:rsidRDefault="00C03502">
      <w:r>
        <w:separator/>
      </w:r>
    </w:p>
  </w:footnote>
  <w:footnote w:type="continuationSeparator" w:id="0">
    <w:p w14:paraId="4A4D131C" w14:textId="77777777" w:rsidR="00C03502" w:rsidRDefault="00C0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EFCD" w14:textId="77777777" w:rsidR="00521DE6" w:rsidRDefault="00521D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7F55F2" w:rsidRDefault="007F55F2">
    <w:pPr>
      <w:pStyle w:val="Corps"/>
      <w:tabs>
        <w:tab w:val="center" w:pos="4536"/>
        <w:tab w:val="right" w:pos="9072"/>
      </w:tabs>
      <w:rPr>
        <w:rFonts w:ascii="Helvetica" w:hAnsi="Helvetica"/>
        <w:color w:val="3F3F3F"/>
        <w:sz w:val="20"/>
        <w:szCs w:val="20"/>
        <w:u w:color="3F3F3F"/>
      </w:rPr>
    </w:pPr>
  </w:p>
  <w:p w14:paraId="23FE5B08" w14:textId="708D05D7" w:rsidR="007F55F2" w:rsidRDefault="00521DE6">
    <w:pPr>
      <w:pStyle w:val="Corps"/>
      <w:tabs>
        <w:tab w:val="center" w:pos="4536"/>
        <w:tab w:val="right" w:pos="9072"/>
      </w:tabs>
    </w:pPr>
    <w:r>
      <w:rPr>
        <w:noProof/>
      </w:rPr>
      <w:drawing>
        <wp:anchor distT="0" distB="0" distL="114300" distR="114300" simplePos="0" relativeHeight="251663360" behindDoc="0" locked="0" layoutInCell="1" allowOverlap="1" wp14:anchorId="6D25FD51" wp14:editId="65740223">
          <wp:simplePos x="0" y="0"/>
          <wp:positionH relativeFrom="margin">
            <wp:posOffset>0</wp:posOffset>
          </wp:positionH>
          <wp:positionV relativeFrom="paragraph">
            <wp:posOffset>170815</wp:posOffset>
          </wp:positionV>
          <wp:extent cx="2438400" cy="495300"/>
          <wp:effectExtent l="0" t="0" r="0" b="0"/>
          <wp:wrapSquare wrapText="bothSides"/>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5F2">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44F8FBE4" wp14:editId="05903A78">
          <wp:simplePos x="0" y="0"/>
          <wp:positionH relativeFrom="margin">
            <wp:align>right</wp:align>
          </wp:positionH>
          <wp:positionV relativeFrom="paragraph">
            <wp:posOffset>73025</wp:posOffset>
          </wp:positionV>
          <wp:extent cx="676275" cy="72898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89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37DC" w14:textId="77777777" w:rsidR="00521DE6" w:rsidRDefault="00521D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4DF41D3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1E96DDE2">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C010A362">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73CCEEFA">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A4642278">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C32851C6">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B43AC5F2">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50B827D6">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C9C06520">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2ABE"/>
    <w:rsid w:val="00017663"/>
    <w:rsid w:val="00023A13"/>
    <w:rsid w:val="00026B78"/>
    <w:rsid w:val="00030828"/>
    <w:rsid w:val="00072860"/>
    <w:rsid w:val="000802B3"/>
    <w:rsid w:val="000824F2"/>
    <w:rsid w:val="000C3670"/>
    <w:rsid w:val="000D1AFD"/>
    <w:rsid w:val="001334DC"/>
    <w:rsid w:val="00136230"/>
    <w:rsid w:val="001A004A"/>
    <w:rsid w:val="001B66B3"/>
    <w:rsid w:val="001D0177"/>
    <w:rsid w:val="001E49D4"/>
    <w:rsid w:val="001F60ED"/>
    <w:rsid w:val="00224B6D"/>
    <w:rsid w:val="002269F1"/>
    <w:rsid w:val="00285E57"/>
    <w:rsid w:val="00297A30"/>
    <w:rsid w:val="002D7D73"/>
    <w:rsid w:val="0032799B"/>
    <w:rsid w:val="00371705"/>
    <w:rsid w:val="00375D73"/>
    <w:rsid w:val="003B1EAA"/>
    <w:rsid w:val="003D389E"/>
    <w:rsid w:val="003F4D6B"/>
    <w:rsid w:val="004043B9"/>
    <w:rsid w:val="00427E3F"/>
    <w:rsid w:val="00445440"/>
    <w:rsid w:val="0044751E"/>
    <w:rsid w:val="00495A08"/>
    <w:rsid w:val="004A01F8"/>
    <w:rsid w:val="004B4CCE"/>
    <w:rsid w:val="004D09BD"/>
    <w:rsid w:val="004D5D49"/>
    <w:rsid w:val="00506504"/>
    <w:rsid w:val="005159A0"/>
    <w:rsid w:val="00521DE6"/>
    <w:rsid w:val="00525C90"/>
    <w:rsid w:val="00560490"/>
    <w:rsid w:val="0059606F"/>
    <w:rsid w:val="005C617F"/>
    <w:rsid w:val="005D1A4E"/>
    <w:rsid w:val="005F5FD0"/>
    <w:rsid w:val="00683907"/>
    <w:rsid w:val="006B2D13"/>
    <w:rsid w:val="006F4F6D"/>
    <w:rsid w:val="0071714D"/>
    <w:rsid w:val="00785E40"/>
    <w:rsid w:val="007B3501"/>
    <w:rsid w:val="007B5292"/>
    <w:rsid w:val="007C001A"/>
    <w:rsid w:val="007D3D25"/>
    <w:rsid w:val="007E0ADF"/>
    <w:rsid w:val="007F22B9"/>
    <w:rsid w:val="007F55F2"/>
    <w:rsid w:val="008166AC"/>
    <w:rsid w:val="00837996"/>
    <w:rsid w:val="00852AF9"/>
    <w:rsid w:val="00863714"/>
    <w:rsid w:val="00894331"/>
    <w:rsid w:val="00894346"/>
    <w:rsid w:val="0089526A"/>
    <w:rsid w:val="00900441"/>
    <w:rsid w:val="00914516"/>
    <w:rsid w:val="0093156B"/>
    <w:rsid w:val="00933323"/>
    <w:rsid w:val="009358EC"/>
    <w:rsid w:val="00936057"/>
    <w:rsid w:val="00940D17"/>
    <w:rsid w:val="009428FC"/>
    <w:rsid w:val="00967D5F"/>
    <w:rsid w:val="009758D8"/>
    <w:rsid w:val="00997220"/>
    <w:rsid w:val="009E3A12"/>
    <w:rsid w:val="009F262F"/>
    <w:rsid w:val="00A55851"/>
    <w:rsid w:val="00A67EA6"/>
    <w:rsid w:val="00AA06AA"/>
    <w:rsid w:val="00AA165E"/>
    <w:rsid w:val="00AB407C"/>
    <w:rsid w:val="00AE264A"/>
    <w:rsid w:val="00B25CE1"/>
    <w:rsid w:val="00B62F77"/>
    <w:rsid w:val="00BD6554"/>
    <w:rsid w:val="00BD6B02"/>
    <w:rsid w:val="00C03502"/>
    <w:rsid w:val="00C36009"/>
    <w:rsid w:val="00C611C0"/>
    <w:rsid w:val="00C73F61"/>
    <w:rsid w:val="00CC3A22"/>
    <w:rsid w:val="00CF552C"/>
    <w:rsid w:val="00D0644B"/>
    <w:rsid w:val="00D11518"/>
    <w:rsid w:val="00D47197"/>
    <w:rsid w:val="00D52203"/>
    <w:rsid w:val="00D6382B"/>
    <w:rsid w:val="00DB72DF"/>
    <w:rsid w:val="00DD3369"/>
    <w:rsid w:val="00DD5593"/>
    <w:rsid w:val="00E369A5"/>
    <w:rsid w:val="00E774DF"/>
    <w:rsid w:val="00E8522E"/>
    <w:rsid w:val="00E97E08"/>
    <w:rsid w:val="00F04FE5"/>
    <w:rsid w:val="00F069D1"/>
    <w:rsid w:val="00F361DB"/>
    <w:rsid w:val="00F37FF1"/>
    <w:rsid w:val="00F503FC"/>
    <w:rsid w:val="00F55568"/>
    <w:rsid w:val="00FA607A"/>
    <w:rsid w:val="00FC3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714"/>
    <w:rPr>
      <w:rFonts w:eastAsia="Times New Roman"/>
      <w:b/>
      <w:bCs/>
      <w:sz w:val="36"/>
      <w:szCs w:val="36"/>
      <w:bdr w:val="none" w:sz="0" w:space="0" w:color="auto"/>
    </w:rPr>
  </w:style>
  <w:style w:type="paragraph" w:styleId="NormalWeb">
    <w:name w:val="Normal (Web)"/>
    <w:basedOn w:val="Normal"/>
    <w:uiPriority w:val="99"/>
    <w:semiHidden/>
    <w:unhideWhenUsed/>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863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1120">
      <w:bodyDiv w:val="1"/>
      <w:marLeft w:val="0"/>
      <w:marRight w:val="0"/>
      <w:marTop w:val="0"/>
      <w:marBottom w:val="0"/>
      <w:divBdr>
        <w:top w:val="none" w:sz="0" w:space="0" w:color="auto"/>
        <w:left w:val="none" w:sz="0" w:space="0" w:color="auto"/>
        <w:bottom w:val="none" w:sz="0" w:space="0" w:color="auto"/>
        <w:right w:val="none" w:sz="0" w:space="0" w:color="auto"/>
      </w:divBdr>
    </w:div>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1353</Words>
  <Characters>7443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Compte Microsoft</cp:lastModifiedBy>
  <cp:revision>6</cp:revision>
  <cp:lastPrinted>2021-04-04T18:05:00Z</cp:lastPrinted>
  <dcterms:created xsi:type="dcterms:W3CDTF">2022-02-20T17:58:00Z</dcterms:created>
  <dcterms:modified xsi:type="dcterms:W3CDTF">2022-02-25T23:17:00Z</dcterms:modified>
</cp:coreProperties>
</file>