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7CAC" w:rsidRPr="00057CAC" w:rsidRDefault="00057CAC" w:rsidP="00057CAC">
      <w:pPr>
        <w:rPr>
          <w:rFonts w:asciiTheme="minorHAnsi" w:hAnsiTheme="minorHAnsi"/>
        </w:rPr>
      </w:pPr>
      <w:r w:rsidRPr="00057CAC">
        <w:rPr>
          <w:rFonts w:asciiTheme="minorHAnsi" w:hAnsiTheme="minorHAnsi"/>
        </w:rPr>
        <w:t>Bonjour,</w:t>
      </w:r>
    </w:p>
    <w:p w:rsidR="00057CAC" w:rsidRPr="00057CAC" w:rsidRDefault="00057CAC" w:rsidP="00057CAC">
      <w:pPr>
        <w:rPr>
          <w:rFonts w:asciiTheme="minorHAnsi" w:hAnsiTheme="minorHAnsi"/>
        </w:rPr>
      </w:pPr>
    </w:p>
    <w:p w:rsidR="00057CAC" w:rsidRPr="00057CAC" w:rsidRDefault="00057CAC" w:rsidP="00057CAC">
      <w:pPr>
        <w:rPr>
          <w:rFonts w:asciiTheme="minorHAnsi" w:hAnsiTheme="minorHAnsi"/>
        </w:rPr>
      </w:pPr>
      <w:r w:rsidRPr="00057CAC">
        <w:rPr>
          <w:rFonts w:asciiTheme="minorHAnsi" w:hAnsiTheme="minorHAnsi"/>
        </w:rPr>
        <w:t xml:space="preserve">Voici ma présentation que j’ai </w:t>
      </w:r>
      <w:r w:rsidR="000C2D00" w:rsidRPr="00057CAC">
        <w:rPr>
          <w:rFonts w:asciiTheme="minorHAnsi" w:hAnsiTheme="minorHAnsi"/>
        </w:rPr>
        <w:t>retravaillée</w:t>
      </w:r>
      <w:r w:rsidRPr="00057CAC">
        <w:rPr>
          <w:rFonts w:asciiTheme="minorHAnsi" w:hAnsiTheme="minorHAnsi"/>
        </w:rPr>
        <w:t xml:space="preserve"> pour le site que je prépare, ainsi que le descriptif des deux autres techniques utilisées :</w:t>
      </w:r>
      <w:bookmarkStart w:id="0" w:name="_GoBack"/>
      <w:bookmarkEnd w:id="0"/>
    </w:p>
    <w:p w:rsidR="00057CAC" w:rsidRPr="00057CAC" w:rsidRDefault="00057CAC" w:rsidP="00057CAC">
      <w:pPr>
        <w:rPr>
          <w:rFonts w:asciiTheme="minorHAnsi" w:hAnsiTheme="minorHAnsi"/>
        </w:rPr>
      </w:pPr>
    </w:p>
    <w:p w:rsidR="00057CAC" w:rsidRPr="00057CAC" w:rsidRDefault="00057CAC" w:rsidP="00057CAC">
      <w:pPr>
        <w:pStyle w:val="NormalWeb"/>
        <w:rPr>
          <w:rFonts w:asciiTheme="minorHAnsi" w:hAnsiTheme="minorHAnsi"/>
          <w:sz w:val="22"/>
          <w:szCs w:val="22"/>
        </w:rPr>
      </w:pPr>
      <w:r w:rsidRPr="00057CAC">
        <w:rPr>
          <w:rFonts w:asciiTheme="minorHAnsi" w:hAnsiTheme="minorHAnsi"/>
          <w:sz w:val="22"/>
          <w:szCs w:val="22"/>
        </w:rPr>
        <w:t>« Lionel TOI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Fasciné très tôt par l’univers de la sociologie et celui de la psychologie, j’étudie et intègre avec aisance les grandes théories analytiques dédiées à la compréhension du comportement humain. Le par</w:t>
      </w:r>
      <w:r w:rsidR="008B32A4">
        <w:rPr>
          <w:rFonts w:asciiTheme="minorHAnsi" w:hAnsiTheme="minorHAnsi"/>
          <w:color w:val="222222"/>
          <w:sz w:val="22"/>
          <w:szCs w:val="22"/>
        </w:rPr>
        <w:t>cours de ma vie privé me conduit</w:t>
      </w:r>
      <w:r w:rsidRPr="00057CAC">
        <w:rPr>
          <w:rFonts w:asciiTheme="minorHAnsi" w:hAnsiTheme="minorHAnsi"/>
          <w:color w:val="222222"/>
          <w:sz w:val="22"/>
          <w:szCs w:val="22"/>
        </w:rPr>
        <w:t xml:space="preserve"> d’abord vers un chemin plus </w:t>
      </w:r>
      <w:r w:rsidR="008B32A4" w:rsidRPr="00057CAC">
        <w:rPr>
          <w:rFonts w:asciiTheme="minorHAnsi" w:hAnsiTheme="minorHAnsi"/>
          <w:color w:val="222222"/>
          <w:sz w:val="22"/>
          <w:szCs w:val="22"/>
        </w:rPr>
        <w:t>strict</w:t>
      </w:r>
      <w:r w:rsidRPr="00057CAC">
        <w:rPr>
          <w:rFonts w:asciiTheme="minorHAnsi" w:hAnsiTheme="minorHAnsi"/>
          <w:color w:val="222222"/>
          <w:sz w:val="22"/>
          <w:szCs w:val="22"/>
        </w:rPr>
        <w:t>, une carrière au sein de la Gendarmerie Nationale, où je mis à profit tout mon savoir, dans la gestion d’interventions complexes, conflictuelles voire dangereuses et cela avec beaucoup d’aisance et de sérénité.</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xml:space="preserve">« Toutes ces mission en situations complexes, parfois à risque, m’ont </w:t>
      </w:r>
      <w:r w:rsidR="008B32A4" w:rsidRPr="00057CAC">
        <w:rPr>
          <w:rFonts w:asciiTheme="minorHAnsi" w:hAnsiTheme="minorHAnsi"/>
          <w:color w:val="222222"/>
          <w:sz w:val="22"/>
          <w:szCs w:val="22"/>
        </w:rPr>
        <w:t>permis</w:t>
      </w:r>
      <w:r w:rsidRPr="00057CAC">
        <w:rPr>
          <w:rFonts w:asciiTheme="minorHAnsi" w:hAnsiTheme="minorHAnsi"/>
          <w:color w:val="222222"/>
          <w:sz w:val="22"/>
          <w:szCs w:val="22"/>
        </w:rPr>
        <w:t xml:space="preserve"> de m’orienter naturellement vers ce chemin de vie qui est le mien aujourd’hui : La thérapie brève.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xml:space="preserve">J’intègre alors une prestigieuse école de psychothérapie sur Paris où je </w:t>
      </w:r>
      <w:r w:rsidR="008B32A4" w:rsidRPr="00057CAC">
        <w:rPr>
          <w:rFonts w:asciiTheme="minorHAnsi" w:hAnsiTheme="minorHAnsi"/>
          <w:color w:val="222222"/>
          <w:sz w:val="22"/>
          <w:szCs w:val="22"/>
        </w:rPr>
        <w:t>mets</w:t>
      </w:r>
      <w:r w:rsidRPr="00057CAC">
        <w:rPr>
          <w:rFonts w:asciiTheme="minorHAnsi" w:hAnsiTheme="minorHAnsi"/>
          <w:color w:val="222222"/>
          <w:sz w:val="22"/>
          <w:szCs w:val="22"/>
        </w:rPr>
        <w:t xml:space="preserve"> en scène avec succès et bienveillance mes talents de thérapeute. J’enchaîne ainsi les spécialisations suivantes : hypn</w:t>
      </w:r>
      <w:r w:rsidR="008B32A4">
        <w:rPr>
          <w:rFonts w:asciiTheme="minorHAnsi" w:hAnsiTheme="minorHAnsi"/>
          <w:color w:val="222222"/>
          <w:sz w:val="22"/>
          <w:szCs w:val="22"/>
        </w:rPr>
        <w:t>ose, thérapie cybernétique, PNL</w:t>
      </w:r>
      <w:r w:rsidRPr="00057CAC">
        <w:rPr>
          <w:rFonts w:asciiTheme="minorHAnsi" w:hAnsiTheme="minorHAnsi"/>
          <w:color w:val="222222"/>
          <w:sz w:val="22"/>
          <w:szCs w:val="22"/>
        </w:rPr>
        <w:t>, DNR tout en faisant de ces disciplines un véritable art de vivre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Aujourd’hui, Je vous accompagne de manière ludique et efficace, vers l’accomplissement de vos objectifs personnels et professionnels »</w:t>
      </w:r>
    </w:p>
    <w:p w:rsid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w:t>
      </w:r>
      <w:proofErr w:type="gramStart"/>
      <w:r w:rsidRPr="00057CAC">
        <w:rPr>
          <w:rFonts w:asciiTheme="minorHAnsi" w:hAnsiTheme="minorHAnsi"/>
          <w:color w:val="222222"/>
          <w:sz w:val="22"/>
          <w:szCs w:val="22"/>
        </w:rPr>
        <w:t>source</w:t>
      </w:r>
      <w:proofErr w:type="gramEnd"/>
      <w:r w:rsidRPr="00057CAC">
        <w:rPr>
          <w:rFonts w:asciiTheme="minorHAnsi" w:hAnsiTheme="minorHAnsi"/>
          <w:color w:val="222222"/>
          <w:sz w:val="22"/>
          <w:szCs w:val="22"/>
        </w:rPr>
        <w:t xml:space="preserve"> : </w:t>
      </w:r>
      <w:hyperlink r:id="rId5" w:history="1">
        <w:r w:rsidRPr="00057CAC">
          <w:rPr>
            <w:rStyle w:val="Lienhypertexte"/>
            <w:rFonts w:asciiTheme="minorHAnsi" w:hAnsiTheme="minorHAnsi"/>
            <w:sz w:val="22"/>
            <w:szCs w:val="22"/>
          </w:rPr>
          <w:t>www.terrapi.fr</w:t>
        </w:r>
      </w:hyperlink>
      <w:r w:rsidRPr="00057CAC">
        <w:rPr>
          <w:rFonts w:asciiTheme="minorHAnsi" w:hAnsiTheme="minorHAnsi"/>
          <w:color w:val="222222"/>
          <w:sz w:val="22"/>
          <w:szCs w:val="22"/>
        </w:rPr>
        <w:t>)</w:t>
      </w:r>
    </w:p>
    <w:p w:rsidR="000C2D00" w:rsidRPr="00057CAC" w:rsidRDefault="000C2D00" w:rsidP="00057CAC">
      <w:pPr>
        <w:pStyle w:val="NormalWeb"/>
        <w:rPr>
          <w:rFonts w:asciiTheme="minorHAnsi" w:hAnsiTheme="minorHAnsi"/>
          <w:color w:val="222222"/>
          <w:sz w:val="22"/>
          <w:szCs w:val="22"/>
        </w:rPr>
      </w:pPr>
      <w:proofErr w:type="spellStart"/>
      <w:r>
        <w:rPr>
          <w:rFonts w:ascii="Helvetica" w:hAnsi="Helvetica"/>
          <w:color w:val="7F7A70"/>
          <w:sz w:val="27"/>
          <w:szCs w:val="27"/>
          <w:shd w:val="clear" w:color="auto" w:fill="FFF5DB"/>
        </w:rPr>
        <w:t>Rosny-sous-bois</w:t>
      </w:r>
      <w:proofErr w:type="spellEnd"/>
      <w:r>
        <w:rPr>
          <w:rFonts w:ascii="Helvetica" w:hAnsi="Helvetica"/>
          <w:color w:val="7F7A70"/>
          <w:sz w:val="27"/>
          <w:szCs w:val="27"/>
          <w:shd w:val="clear" w:color="auto" w:fill="FFF5DB"/>
        </w:rPr>
        <w:t xml:space="preserve"> – Ile-de-France</w:t>
      </w:r>
      <w:r>
        <w:rPr>
          <w:rFonts w:ascii="Helvetica" w:hAnsi="Helvetica"/>
          <w:color w:val="7F7A70"/>
          <w:sz w:val="27"/>
          <w:szCs w:val="27"/>
        </w:rPr>
        <w:br/>
      </w:r>
      <w:r>
        <w:rPr>
          <w:rFonts w:ascii="Helvetica" w:hAnsi="Helvetica"/>
          <w:color w:val="7F7A70"/>
          <w:sz w:val="27"/>
          <w:szCs w:val="27"/>
          <w:shd w:val="clear" w:color="auto" w:fill="FFF5DB"/>
        </w:rPr>
        <w:t>E-mail : lionel_toi@hotmail.fr</w:t>
      </w:r>
      <w:r>
        <w:rPr>
          <w:rStyle w:val="apple-converted-space"/>
          <w:rFonts w:ascii="Helvetica" w:hAnsi="Helvetica"/>
          <w:color w:val="7F7A70"/>
          <w:sz w:val="27"/>
          <w:szCs w:val="27"/>
          <w:shd w:val="clear" w:color="auto" w:fill="FFF5DB"/>
        </w:rPr>
        <w:t> </w:t>
      </w:r>
      <w:r>
        <w:rPr>
          <w:rFonts w:ascii="Helvetica" w:hAnsi="Helvetica"/>
          <w:color w:val="7F7A70"/>
          <w:sz w:val="27"/>
          <w:szCs w:val="27"/>
        </w:rPr>
        <w:br/>
      </w:r>
      <w:r>
        <w:rPr>
          <w:rFonts w:ascii="Helvetica" w:hAnsi="Helvetica"/>
          <w:color w:val="7F7A70"/>
          <w:sz w:val="27"/>
          <w:szCs w:val="27"/>
          <w:shd w:val="clear" w:color="auto" w:fill="FFF5DB"/>
        </w:rPr>
        <w:t>Tel : 06.95.53.69.71</w:t>
      </w:r>
    </w:p>
    <w:p w:rsidR="00057CAC" w:rsidRPr="00057CAC" w:rsidRDefault="00057CAC" w:rsidP="00057CAC">
      <w:pPr>
        <w:pStyle w:val="NormalWeb"/>
        <w:rPr>
          <w:rFonts w:asciiTheme="minorHAnsi" w:hAnsiTheme="minorHAnsi"/>
          <w:color w:val="222222"/>
          <w:sz w:val="22"/>
          <w:szCs w:val="22"/>
        </w:rPr>
      </w:pP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L’hypnose Entéro-Cérébrale (H.E.C.)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L’hypnose Entéro-Cérébrale est une nouvelle forme d’hypnose. Elle est un « état d’hyper conscience sensorielle », basée sur l’interaction Cervea</w:t>
      </w:r>
      <w:r w:rsidR="008B32A4">
        <w:rPr>
          <w:rFonts w:asciiTheme="minorHAnsi" w:hAnsiTheme="minorHAnsi"/>
          <w:color w:val="222222"/>
          <w:sz w:val="22"/>
          <w:szCs w:val="22"/>
        </w:rPr>
        <w:t xml:space="preserve">u – Intestin. Cette technique a </w:t>
      </w:r>
      <w:r w:rsidRPr="00057CAC">
        <w:rPr>
          <w:rFonts w:asciiTheme="minorHAnsi" w:hAnsiTheme="minorHAnsi"/>
          <w:color w:val="222222"/>
          <w:sz w:val="22"/>
          <w:szCs w:val="22"/>
        </w:rPr>
        <w:t xml:space="preserve">trouvé sa source dans le Milton modèle et aussi dans la théorie du Dr Michael </w:t>
      </w:r>
      <w:proofErr w:type="spellStart"/>
      <w:r w:rsidRPr="00057CAC">
        <w:rPr>
          <w:rFonts w:asciiTheme="minorHAnsi" w:hAnsiTheme="minorHAnsi"/>
          <w:color w:val="222222"/>
          <w:sz w:val="22"/>
          <w:szCs w:val="22"/>
        </w:rPr>
        <w:t>Gershon</w:t>
      </w:r>
      <w:proofErr w:type="spellEnd"/>
      <w:r w:rsidR="008B32A4">
        <w:rPr>
          <w:rFonts w:asciiTheme="minorHAnsi" w:hAnsiTheme="minorHAnsi"/>
          <w:color w:val="222222"/>
          <w:sz w:val="22"/>
          <w:szCs w:val="22"/>
        </w:rPr>
        <w:t xml:space="preserve"> </w:t>
      </w:r>
      <w:r w:rsidRPr="00057CAC">
        <w:rPr>
          <w:rFonts w:asciiTheme="minorHAnsi" w:hAnsiTheme="minorHAnsi"/>
          <w:color w:val="222222"/>
          <w:sz w:val="22"/>
          <w:szCs w:val="22"/>
        </w:rPr>
        <w:t>(The Second Brain, 1999). Cette communication cybernétique, entéro-cérébrale va automatiquement déclencher une réponse interne (kinesthésique), cognitive, comportementale, émotionnelle et aussi physiologique chez le sujet. Dans l’H.E.C, l’inconscient entérique est une version subtile du « moi intime ». Ce « Moi Véritable » qui sait tout de notre histoire, de nos émotions, de notre mode de fonctionnement et aussi responsable de notre état interne. Un véritable « Disque dur » de la vie psycho-émotionnel. Dans cette forme d’hypnose le Corps et l’Esprit font partie d’un même Système Cybernétique. C’est-à-dire que la façon de penser, l’attitude corporelle et physiologique sont inter-reliés.</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L’H.E.C est un accès di</w:t>
      </w:r>
      <w:r w:rsidR="008B32A4">
        <w:rPr>
          <w:rFonts w:asciiTheme="minorHAnsi" w:hAnsiTheme="minorHAnsi"/>
          <w:color w:val="222222"/>
          <w:sz w:val="22"/>
          <w:szCs w:val="22"/>
        </w:rPr>
        <w:t>rect à l’inconscient cérébral (</w:t>
      </w:r>
      <w:r w:rsidRPr="00057CAC">
        <w:rPr>
          <w:rFonts w:asciiTheme="minorHAnsi" w:hAnsiTheme="minorHAnsi"/>
          <w:color w:val="222222"/>
          <w:sz w:val="22"/>
          <w:szCs w:val="22"/>
        </w:rPr>
        <w:t xml:space="preserve">le </w:t>
      </w:r>
      <w:proofErr w:type="gramStart"/>
      <w:r w:rsidRPr="00057CAC">
        <w:rPr>
          <w:rFonts w:asciiTheme="minorHAnsi" w:hAnsiTheme="minorHAnsi"/>
          <w:color w:val="222222"/>
          <w:sz w:val="22"/>
          <w:szCs w:val="22"/>
        </w:rPr>
        <w:t>cerveau )</w:t>
      </w:r>
      <w:proofErr w:type="gramEnd"/>
      <w:r w:rsidRPr="00057CAC">
        <w:rPr>
          <w:rFonts w:asciiTheme="minorHAnsi" w:hAnsiTheme="minorHAnsi"/>
          <w:color w:val="222222"/>
          <w:sz w:val="22"/>
          <w:szCs w:val="22"/>
        </w:rPr>
        <w:t xml:space="preserve"> et l’inconscient entérique (le ventre), lieu où se réfugient toutes les émotions, le mode de fonctionnement d’une personne ainsi que son héritage génétique et </w:t>
      </w:r>
      <w:proofErr w:type="spellStart"/>
      <w:r w:rsidRPr="00057CAC">
        <w:rPr>
          <w:rFonts w:asciiTheme="minorHAnsi" w:hAnsiTheme="minorHAnsi"/>
          <w:color w:val="222222"/>
          <w:sz w:val="22"/>
          <w:szCs w:val="22"/>
        </w:rPr>
        <w:t>transgénérationnel</w:t>
      </w:r>
      <w:proofErr w:type="spellEnd"/>
      <w:r w:rsidRPr="00057CAC">
        <w:rPr>
          <w:rFonts w:asciiTheme="minorHAnsi" w:hAnsiTheme="minorHAnsi"/>
          <w:color w:val="222222"/>
          <w:sz w:val="22"/>
          <w:szCs w:val="22"/>
        </w:rPr>
        <w:t>. Cette approche nous indique qu</w:t>
      </w:r>
      <w:r w:rsidR="008B32A4">
        <w:rPr>
          <w:rFonts w:asciiTheme="minorHAnsi" w:hAnsiTheme="minorHAnsi"/>
          <w:color w:val="222222"/>
          <w:sz w:val="22"/>
          <w:szCs w:val="22"/>
        </w:rPr>
        <w:t>’il est possible de modifier l’</w:t>
      </w:r>
      <w:r w:rsidRPr="00057CAC">
        <w:rPr>
          <w:rFonts w:asciiTheme="minorHAnsi" w:hAnsiTheme="minorHAnsi"/>
          <w:color w:val="222222"/>
          <w:sz w:val="22"/>
          <w:szCs w:val="22"/>
        </w:rPr>
        <w:t>état interne, d’influer les émotions et donc d’agir s</w:t>
      </w:r>
      <w:r w:rsidR="008B32A4">
        <w:rPr>
          <w:rFonts w:asciiTheme="minorHAnsi" w:hAnsiTheme="minorHAnsi"/>
          <w:color w:val="222222"/>
          <w:sz w:val="22"/>
          <w:szCs w:val="22"/>
        </w:rPr>
        <w:t xml:space="preserve">ur </w:t>
      </w:r>
      <w:proofErr w:type="gramStart"/>
      <w:r w:rsidR="008B32A4">
        <w:rPr>
          <w:rFonts w:asciiTheme="minorHAnsi" w:hAnsiTheme="minorHAnsi"/>
          <w:color w:val="222222"/>
          <w:sz w:val="22"/>
          <w:szCs w:val="22"/>
        </w:rPr>
        <w:t>l’ inconscient</w:t>
      </w:r>
      <w:proofErr w:type="gramEnd"/>
      <w:r w:rsidR="008B32A4">
        <w:rPr>
          <w:rFonts w:asciiTheme="minorHAnsi" w:hAnsiTheme="minorHAnsi"/>
          <w:color w:val="222222"/>
          <w:sz w:val="22"/>
          <w:szCs w:val="22"/>
        </w:rPr>
        <w:t>, le conscient</w:t>
      </w:r>
      <w:r w:rsidRPr="00057CAC">
        <w:rPr>
          <w:rFonts w:asciiTheme="minorHAnsi" w:hAnsiTheme="minorHAnsi"/>
          <w:color w:val="222222"/>
          <w:sz w:val="22"/>
          <w:szCs w:val="22"/>
        </w:rPr>
        <w:t>, la santé psychique et physique d’une personne.</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L’ostéopathie intervient considérablement dans le processus d’accès à l’inconscient entérique. La complémentarité de cette discipline au cœur de cette nouvelle forme d’hypnose, va incontestablement optimiser les résultats et l’évolution thérapeutique. Ainsi, lors d’une séance d’H.E.C  qui aura été précédé</w:t>
      </w:r>
      <w:r w:rsidR="008B32A4">
        <w:rPr>
          <w:rFonts w:asciiTheme="minorHAnsi" w:hAnsiTheme="minorHAnsi"/>
          <w:color w:val="222222"/>
          <w:sz w:val="22"/>
          <w:szCs w:val="22"/>
        </w:rPr>
        <w:t>e</w:t>
      </w:r>
      <w:r w:rsidRPr="00057CAC">
        <w:rPr>
          <w:rFonts w:asciiTheme="minorHAnsi" w:hAnsiTheme="minorHAnsi"/>
          <w:color w:val="222222"/>
          <w:sz w:val="22"/>
          <w:szCs w:val="22"/>
        </w:rPr>
        <w:t xml:space="preserve"> d’une séance d’ostéopathie, le protocole sera d’autant plus efficace et ancré dans l’inconscient cérébrale et l’inconscient entérique du patient. L’ostéopathie permet de par son approche, de débloquer les stases énergétiques du patient qui va permettre au Neuro-Praticien d’être efficace et plus précis dans son intervention thérapeutique.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w:t>
      </w:r>
      <w:proofErr w:type="gramStart"/>
      <w:r w:rsidRPr="00057CAC">
        <w:rPr>
          <w:rFonts w:asciiTheme="minorHAnsi" w:hAnsiTheme="minorHAnsi"/>
          <w:color w:val="222222"/>
          <w:sz w:val="22"/>
          <w:szCs w:val="22"/>
        </w:rPr>
        <w:t>source</w:t>
      </w:r>
      <w:proofErr w:type="gramEnd"/>
      <w:r w:rsidRPr="00057CAC">
        <w:rPr>
          <w:rFonts w:asciiTheme="minorHAnsi" w:hAnsiTheme="minorHAnsi"/>
          <w:color w:val="222222"/>
          <w:sz w:val="22"/>
          <w:szCs w:val="22"/>
        </w:rPr>
        <w:t xml:space="preserve"> : </w:t>
      </w:r>
      <w:hyperlink r:id="rId6" w:history="1">
        <w:r w:rsidRPr="00057CAC">
          <w:rPr>
            <w:rStyle w:val="Lienhypertexte"/>
            <w:rFonts w:asciiTheme="minorHAnsi" w:hAnsiTheme="minorHAnsi"/>
            <w:sz w:val="22"/>
            <w:szCs w:val="22"/>
          </w:rPr>
          <w:t>www.terrapi.fr</w:t>
        </w:r>
      </w:hyperlink>
      <w:r w:rsidRPr="00057CAC">
        <w:rPr>
          <w:rFonts w:asciiTheme="minorHAnsi" w:hAnsiTheme="minorHAnsi"/>
          <w:color w:val="222222"/>
          <w:sz w:val="22"/>
          <w:szCs w:val="22"/>
        </w:rPr>
        <w:t>)</w:t>
      </w:r>
    </w:p>
    <w:p w:rsidR="00057CAC" w:rsidRPr="00057CAC" w:rsidRDefault="00057CAC" w:rsidP="00057CAC">
      <w:pPr>
        <w:pStyle w:val="NormalWeb"/>
        <w:rPr>
          <w:rFonts w:asciiTheme="minorHAnsi" w:hAnsiTheme="minorHAnsi"/>
          <w:color w:val="222222"/>
          <w:sz w:val="22"/>
          <w:szCs w:val="22"/>
        </w:rPr>
      </w:pP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La Neuro-Nutrition :</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xml:space="preserve">C’est en assurant la satisfaction des besoins essentiels du cerveau et en éliminant les carences en neuromédiateurs que le corps et l’esprit vont émettre une réponse favorable au changement et au </w:t>
      </w:r>
      <w:r w:rsidRPr="00057CAC">
        <w:rPr>
          <w:rFonts w:asciiTheme="minorHAnsi" w:hAnsiTheme="minorHAnsi"/>
          <w:color w:val="222222"/>
          <w:sz w:val="22"/>
          <w:szCs w:val="22"/>
        </w:rPr>
        <w:lastRenderedPageBreak/>
        <w:t>bien-être. La Neuro-Nutrition est une approche globale, permettant de prendre en charge de multiples troubles comportementaux : l’obésité, l’hyperphagie boulimique, l’anorexie, l’addiction à l’alcool, l’insomnie, l’addiction au sucre, la dépression, le cannabis…). Elle intervient en prévention, et ne se substitue en aucun cas à un avis médical et aussi nécessite parfois l’intervention d’un nutritionniste et d’un endocrinologue. Cette approche agit aussi en synergie avec d’autres traitements, en fonction des besoins du patient.</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 xml:space="preserve">La régulation de 4 neurotransmetteurs importants dans le cerveau </w:t>
      </w:r>
      <w:r w:rsidR="008B32A4" w:rsidRPr="00057CAC">
        <w:rPr>
          <w:rFonts w:asciiTheme="minorHAnsi" w:hAnsiTheme="minorHAnsi"/>
          <w:color w:val="222222"/>
          <w:sz w:val="22"/>
          <w:szCs w:val="22"/>
        </w:rPr>
        <w:t>sera</w:t>
      </w:r>
      <w:r w:rsidRPr="00057CAC">
        <w:rPr>
          <w:rFonts w:asciiTheme="minorHAnsi" w:hAnsiTheme="minorHAnsi"/>
          <w:color w:val="222222"/>
          <w:sz w:val="22"/>
          <w:szCs w:val="22"/>
        </w:rPr>
        <w:t xml:space="preserve"> alors le point de départ d’une prise en charge globale.</w:t>
      </w:r>
    </w:p>
    <w:p w:rsidR="00057C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Nombreux sont les symptômes qui entravent le bon déroulement d’une vie heureuse et équilibrée. Des symptômes en lien direct avec notre biochimie cérébrale. « Le corps et l’esprit font partie d’un même système cybernétique » qui communiquent sans cesse grâce à des neurotransmetteurs générateurs en autre de bien-être (SÉROTONINE), de motivation (DOPAMINE), de joie (ACÉTYLCHOLINE) et aussi assurant la fonction de calmant naturel (GABA). Réguler ces quatre principaux neurotransmetteurs favorise l’apaisement du système nerveux et aussi l’amincissement. »</w:t>
      </w:r>
    </w:p>
    <w:p w:rsidR="002311AC" w:rsidRPr="00057CAC" w:rsidRDefault="00057CAC" w:rsidP="00057CAC">
      <w:pPr>
        <w:pStyle w:val="NormalWeb"/>
        <w:rPr>
          <w:rFonts w:asciiTheme="minorHAnsi" w:hAnsiTheme="minorHAnsi"/>
          <w:color w:val="222222"/>
          <w:sz w:val="22"/>
          <w:szCs w:val="22"/>
        </w:rPr>
      </w:pPr>
      <w:r w:rsidRPr="00057CAC">
        <w:rPr>
          <w:rFonts w:asciiTheme="minorHAnsi" w:hAnsiTheme="minorHAnsi"/>
          <w:color w:val="222222"/>
          <w:sz w:val="22"/>
          <w:szCs w:val="22"/>
        </w:rPr>
        <w:t>(</w:t>
      </w:r>
      <w:proofErr w:type="gramStart"/>
      <w:r w:rsidRPr="00057CAC">
        <w:rPr>
          <w:rFonts w:asciiTheme="minorHAnsi" w:hAnsiTheme="minorHAnsi"/>
          <w:color w:val="222222"/>
          <w:sz w:val="22"/>
          <w:szCs w:val="22"/>
        </w:rPr>
        <w:t>source</w:t>
      </w:r>
      <w:proofErr w:type="gramEnd"/>
      <w:r w:rsidRPr="00057CAC">
        <w:rPr>
          <w:rFonts w:asciiTheme="minorHAnsi" w:hAnsiTheme="minorHAnsi"/>
          <w:color w:val="222222"/>
          <w:sz w:val="22"/>
          <w:szCs w:val="22"/>
        </w:rPr>
        <w:t xml:space="preserve"> : </w:t>
      </w:r>
      <w:hyperlink r:id="rId7" w:history="1">
        <w:r w:rsidRPr="00057CAC">
          <w:rPr>
            <w:rStyle w:val="Lienhypertexte"/>
            <w:rFonts w:asciiTheme="minorHAnsi" w:hAnsiTheme="minorHAnsi"/>
            <w:sz w:val="22"/>
            <w:szCs w:val="22"/>
          </w:rPr>
          <w:t>www.terrapi.fr</w:t>
        </w:r>
      </w:hyperlink>
      <w:r w:rsidRPr="00057CAC">
        <w:rPr>
          <w:rFonts w:asciiTheme="minorHAnsi" w:hAnsiTheme="minorHAnsi"/>
          <w:color w:val="222222"/>
          <w:sz w:val="22"/>
          <w:szCs w:val="22"/>
        </w:rPr>
        <w:t>)</w:t>
      </w:r>
    </w:p>
    <w:sectPr w:rsidR="002311AC" w:rsidRPr="00057C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inherit">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CAC"/>
    <w:rsid w:val="00057CAC"/>
    <w:rsid w:val="000C2D00"/>
    <w:rsid w:val="002311AC"/>
    <w:rsid w:val="008B32A4"/>
    <w:rsid w:val="00CE781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AC"/>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7CAC"/>
    <w:rPr>
      <w:color w:val="0563C1"/>
      <w:u w:val="single"/>
    </w:rPr>
  </w:style>
  <w:style w:type="paragraph" w:styleId="NormalWeb">
    <w:name w:val="Normal (Web)"/>
    <w:basedOn w:val="Normal"/>
    <w:uiPriority w:val="99"/>
    <w:unhideWhenUsed/>
    <w:rsid w:val="00057CAC"/>
    <w:rPr>
      <w:rFonts w:ascii="inherit" w:hAnsi="inherit"/>
      <w:sz w:val="24"/>
      <w:szCs w:val="24"/>
    </w:rPr>
  </w:style>
  <w:style w:type="character" w:customStyle="1" w:styleId="apple-converted-space">
    <w:name w:val="apple-converted-space"/>
    <w:basedOn w:val="Policepardfaut"/>
    <w:rsid w:val="000C2D0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CAC"/>
    <w:pPr>
      <w:spacing w:after="0" w:line="240" w:lineRule="auto"/>
    </w:pPr>
    <w:rPr>
      <w:rFonts w:ascii="Calibri" w:hAnsi="Calibri" w:cs="Times New Roman"/>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57CAC"/>
    <w:rPr>
      <w:color w:val="0563C1"/>
      <w:u w:val="single"/>
    </w:rPr>
  </w:style>
  <w:style w:type="paragraph" w:styleId="NormalWeb">
    <w:name w:val="Normal (Web)"/>
    <w:basedOn w:val="Normal"/>
    <w:uiPriority w:val="99"/>
    <w:unhideWhenUsed/>
    <w:rsid w:val="00057CAC"/>
    <w:rPr>
      <w:rFonts w:ascii="inherit" w:hAnsi="inherit"/>
      <w:sz w:val="24"/>
      <w:szCs w:val="24"/>
    </w:rPr>
  </w:style>
  <w:style w:type="character" w:customStyle="1" w:styleId="apple-converted-space">
    <w:name w:val="apple-converted-space"/>
    <w:basedOn w:val="Policepardfaut"/>
    <w:rsid w:val="000C2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294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terrapi.fr"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rrapi.fr" TargetMode="External"/><Relationship Id="rId5" Type="http://schemas.openxmlformats.org/officeDocument/2006/relationships/hyperlink" Target="http://www.terrapi.f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776</Words>
  <Characters>4273</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2016-04-17T16:01:00Z</dcterms:created>
  <dcterms:modified xsi:type="dcterms:W3CDTF">2016-04-17T18:32:00Z</dcterms:modified>
</cp:coreProperties>
</file>