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5B1FD" w14:textId="77777777" w:rsidR="009070EB" w:rsidRPr="00781A86" w:rsidRDefault="009369FA">
      <w:pPr>
        <w:rPr>
          <w:b/>
          <w:color w:val="FF0000"/>
        </w:rPr>
      </w:pPr>
      <w:r w:rsidRPr="00781A86">
        <w:t>Treatment brochure to PDF</w:t>
      </w:r>
      <w:r w:rsidRPr="00781A86">
        <w:rPr>
          <w:b/>
          <w:color w:val="FF0000"/>
        </w:rPr>
        <w:t>:</w:t>
      </w:r>
      <w:r w:rsidR="007B0B7A" w:rsidRPr="00781A86">
        <w:rPr>
          <w:b/>
          <w:color w:val="FF0000"/>
        </w:rPr>
        <w:t xml:space="preserve"> </w:t>
      </w:r>
    </w:p>
    <w:p w14:paraId="38C9E584" w14:textId="77777777" w:rsidR="009369FA" w:rsidRPr="00781A86" w:rsidRDefault="009369FA"/>
    <w:p w14:paraId="3476D20B" w14:textId="77777777" w:rsidR="0027696A" w:rsidRPr="00860B97" w:rsidRDefault="009369FA" w:rsidP="009369FA">
      <w:pPr>
        <w:spacing w:line="280" w:lineRule="auto"/>
      </w:pPr>
      <w:r w:rsidRPr="00860B97">
        <w:rPr>
          <w:color w:val="FF0000"/>
        </w:rPr>
        <w:t>Page 1</w:t>
      </w:r>
      <w:r w:rsidR="0027696A" w:rsidRPr="00860B97">
        <w:t xml:space="preserve"> </w:t>
      </w:r>
    </w:p>
    <w:p w14:paraId="4D64C8B6" w14:textId="77777777" w:rsidR="0027696A" w:rsidRPr="00860B97" w:rsidRDefault="0027696A" w:rsidP="009369FA">
      <w:pPr>
        <w:spacing w:line="280" w:lineRule="auto"/>
      </w:pPr>
    </w:p>
    <w:p w14:paraId="2E74CA5B" w14:textId="77777777" w:rsidR="009369FA" w:rsidRPr="0027696A" w:rsidRDefault="0027696A" w:rsidP="009369FA">
      <w:pPr>
        <w:spacing w:line="280" w:lineRule="auto"/>
        <w:rPr>
          <w:color w:val="FF0000"/>
          <w:lang w:val="fr-FR"/>
        </w:rPr>
      </w:pPr>
      <w:r w:rsidRPr="00781A86">
        <w:rPr>
          <w:lang w:val="fr-FR"/>
        </w:rPr>
        <w:t>TRAITEMENT  DE LA DYSFONCTION ERECTILE  PAR ONDES DE CHO</w:t>
      </w:r>
      <w:r w:rsidRPr="00CA1D9F">
        <w:rPr>
          <w:lang w:val="fr-FR"/>
        </w:rPr>
        <w:t>C</w:t>
      </w:r>
      <w:r w:rsidRPr="00781A86">
        <w:rPr>
          <w:lang w:val="fr-FR"/>
        </w:rPr>
        <w:t>: UN NOUVEL ESPOIR POUR LES HOMMES QUI EN SOUFFRENT</w:t>
      </w:r>
    </w:p>
    <w:p w14:paraId="5183CF89" w14:textId="77777777" w:rsidR="009369FA" w:rsidRDefault="0027696A" w:rsidP="0027696A">
      <w:pPr>
        <w:spacing w:line="280" w:lineRule="auto"/>
        <w:rPr>
          <w:lang w:val="fr-FR"/>
        </w:rPr>
      </w:pPr>
      <w:r w:rsidRPr="0027696A">
        <w:rPr>
          <w:noProof/>
          <w:lang w:eastAsia="en-GB"/>
        </w:rPr>
        <w:drawing>
          <wp:inline distT="0" distB="0" distL="0" distR="0" wp14:anchorId="436EAAC6" wp14:editId="079A3437">
            <wp:extent cx="5731510" cy="3342005"/>
            <wp:effectExtent l="0" t="0" r="254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35"/>
                    <a:stretch/>
                  </pic:blipFill>
                  <pic:spPr>
                    <a:xfrm>
                      <a:off x="0" y="0"/>
                      <a:ext cx="57315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96A">
        <w:rPr>
          <w:lang w:val="fr-FR"/>
        </w:rPr>
        <w:t xml:space="preserve"> </w:t>
      </w:r>
    </w:p>
    <w:p w14:paraId="48BDA9BD" w14:textId="77777777" w:rsidR="00CA1D9F" w:rsidRDefault="00CA1D9F" w:rsidP="009369FA">
      <w:pPr>
        <w:spacing w:line="280" w:lineRule="auto"/>
        <w:rPr>
          <w:lang w:val="fr-FR"/>
        </w:rPr>
      </w:pPr>
    </w:p>
    <w:p w14:paraId="2F2591E0" w14:textId="77777777" w:rsidR="00CA1D9F" w:rsidRDefault="00CA1D9F" w:rsidP="00CA1D9F">
      <w:pPr>
        <w:spacing w:line="280" w:lineRule="auto"/>
        <w:ind w:left="530" w:firstLine="0"/>
        <w:rPr>
          <w:b/>
          <w:bCs/>
          <w:lang w:val="fr-FR"/>
        </w:rPr>
      </w:pPr>
    </w:p>
    <w:p w14:paraId="5913AF8C" w14:textId="77777777" w:rsidR="00846A45" w:rsidRPr="00E36958" w:rsidRDefault="00846A45" w:rsidP="00846A4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80" w:lineRule="atLeast"/>
        <w:jc w:val="both"/>
        <w:rPr>
          <w:rFonts w:cs="Calibri"/>
          <w:b/>
          <w:bCs/>
          <w:lang w:val="fr"/>
        </w:rPr>
      </w:pPr>
      <w:r w:rsidRPr="00E36958">
        <w:rPr>
          <w:rFonts w:cs="Calibri"/>
          <w:b/>
          <w:bCs/>
          <w:lang w:val="fr"/>
        </w:rPr>
        <w:t>Traitement de la dysfonction érectile le plus innovant et prometteur depuis les inhibiteurs de phosphodiestérases de type 5 (IPDE5) par voie orale (18 ans déjà !)</w:t>
      </w:r>
    </w:p>
    <w:p w14:paraId="56987DD5" w14:textId="77777777" w:rsidR="00033AE0" w:rsidRPr="00E16454" w:rsidRDefault="00033AE0" w:rsidP="00E346C3">
      <w:pPr>
        <w:tabs>
          <w:tab w:val="left" w:pos="0"/>
        </w:tabs>
        <w:spacing w:line="280" w:lineRule="auto"/>
        <w:ind w:firstLine="0"/>
        <w:jc w:val="both"/>
        <w:rPr>
          <w:b/>
          <w:bCs/>
          <w:lang w:val="fr-FR"/>
        </w:rPr>
      </w:pPr>
    </w:p>
    <w:p w14:paraId="4C9F5BD4" w14:textId="555A26D5" w:rsidR="005A5358" w:rsidRDefault="009B68B5" w:rsidP="00E346C3">
      <w:pPr>
        <w:numPr>
          <w:ilvl w:val="0"/>
          <w:numId w:val="9"/>
        </w:numPr>
        <w:tabs>
          <w:tab w:val="clear" w:pos="720"/>
          <w:tab w:val="left" w:pos="0"/>
        </w:tabs>
        <w:spacing w:line="28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T</w:t>
      </w:r>
      <w:r w:rsidR="0027696A">
        <w:rPr>
          <w:b/>
          <w:bCs/>
          <w:lang w:val="fr-FR"/>
        </w:rPr>
        <w:t>raitement de  la</w:t>
      </w:r>
      <w:r w:rsidR="0027696A" w:rsidRPr="00CA1D9F">
        <w:rPr>
          <w:b/>
          <w:bCs/>
          <w:lang w:val="fr-FR"/>
        </w:rPr>
        <w:t xml:space="preserve"> cause et non des symptômes</w:t>
      </w:r>
      <w:r w:rsidR="004956C3">
        <w:rPr>
          <w:b/>
          <w:bCs/>
          <w:lang w:val="fr-FR"/>
        </w:rPr>
        <w:t xml:space="preserve">. Cette affirmation s’appuie sur les résultats d’études contrôlées chez des </w:t>
      </w:r>
      <w:r>
        <w:rPr>
          <w:b/>
          <w:bCs/>
          <w:lang w:val="fr-FR"/>
        </w:rPr>
        <w:t>patients à risques cardiovasculaires</w:t>
      </w:r>
      <w:r w:rsidR="008F6D60" w:rsidRPr="00CA1D9F">
        <w:rPr>
          <w:b/>
          <w:bCs/>
          <w:lang w:val="fr-FR"/>
        </w:rPr>
        <w:t xml:space="preserve"> et/ou diabétiques</w:t>
      </w:r>
    </w:p>
    <w:p w14:paraId="33202813" w14:textId="77777777" w:rsidR="00033AE0" w:rsidRDefault="00033AE0" w:rsidP="00E346C3">
      <w:pPr>
        <w:tabs>
          <w:tab w:val="left" w:pos="0"/>
        </w:tabs>
        <w:spacing w:line="280" w:lineRule="auto"/>
        <w:ind w:firstLine="0"/>
        <w:jc w:val="both"/>
        <w:rPr>
          <w:b/>
          <w:bCs/>
          <w:lang w:val="fr-FR"/>
        </w:rPr>
      </w:pPr>
    </w:p>
    <w:p w14:paraId="237291B1" w14:textId="08C1EA52" w:rsidR="00300489" w:rsidRDefault="00300489" w:rsidP="00E346C3">
      <w:pPr>
        <w:numPr>
          <w:ilvl w:val="0"/>
          <w:numId w:val="9"/>
        </w:numPr>
        <w:tabs>
          <w:tab w:val="clear" w:pos="720"/>
          <w:tab w:val="left" w:pos="0"/>
        </w:tabs>
        <w:spacing w:line="28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Traitement indolore et non invasif</w:t>
      </w:r>
      <w:r w:rsidR="00CC5A12">
        <w:rPr>
          <w:b/>
          <w:bCs/>
          <w:lang w:val="fr-FR"/>
        </w:rPr>
        <w:t>, dont l’effet est durable</w:t>
      </w:r>
    </w:p>
    <w:p w14:paraId="7D7243CE" w14:textId="77777777" w:rsidR="00033AE0" w:rsidRPr="00CA1D9F" w:rsidRDefault="00033AE0" w:rsidP="00E346C3">
      <w:pPr>
        <w:tabs>
          <w:tab w:val="left" w:pos="0"/>
        </w:tabs>
        <w:spacing w:line="280" w:lineRule="auto"/>
        <w:ind w:firstLine="0"/>
        <w:jc w:val="both"/>
        <w:rPr>
          <w:b/>
          <w:bCs/>
          <w:lang w:val="fr-FR"/>
        </w:rPr>
      </w:pPr>
    </w:p>
    <w:p w14:paraId="0AB985C8" w14:textId="77777777" w:rsidR="00B75B13" w:rsidRPr="00B75B13" w:rsidRDefault="00E346C3" w:rsidP="00E346C3">
      <w:pPr>
        <w:numPr>
          <w:ilvl w:val="0"/>
          <w:numId w:val="9"/>
        </w:numPr>
        <w:tabs>
          <w:tab w:val="clear" w:pos="720"/>
          <w:tab w:val="left" w:pos="0"/>
        </w:tabs>
        <w:spacing w:line="280" w:lineRule="auto"/>
        <w:jc w:val="both"/>
        <w:rPr>
          <w:lang w:val="fr-FR"/>
        </w:rPr>
      </w:pPr>
      <w:r w:rsidRPr="00B75B13">
        <w:rPr>
          <w:b/>
          <w:strike/>
          <w:highlight w:val="yellow"/>
          <w:lang w:val="fr-FR"/>
        </w:rPr>
        <w:t>Mise en place d’une étude clinique de type registre pour le suivi des patients.</w:t>
      </w:r>
      <w:r>
        <w:rPr>
          <w:b/>
          <w:lang w:val="fr-FR"/>
        </w:rPr>
        <w:t xml:space="preserve">  </w:t>
      </w:r>
    </w:p>
    <w:p w14:paraId="6FE48FA1" w14:textId="2261B68A" w:rsidR="00B75B13" w:rsidRPr="006640CF" w:rsidRDefault="00B75B13" w:rsidP="00B75B13">
      <w:pPr>
        <w:pStyle w:val="ListParagraph"/>
        <w:numPr>
          <w:ilvl w:val="0"/>
          <w:numId w:val="9"/>
        </w:numPr>
        <w:tabs>
          <w:tab w:val="left" w:pos="0"/>
        </w:tabs>
        <w:spacing w:line="280" w:lineRule="auto"/>
        <w:jc w:val="both"/>
        <w:rPr>
          <w:highlight w:val="yellow"/>
          <w:lang w:val="fr-FR"/>
        </w:rPr>
      </w:pPr>
      <w:r w:rsidRPr="006640CF">
        <w:rPr>
          <w:b/>
          <w:bCs/>
          <w:highlight w:val="yellow"/>
          <w:lang w:val="fr-FR"/>
        </w:rPr>
        <w:t>Participez à notre étude de suivi des patients traités par l’ED1000</w:t>
      </w:r>
      <w:r w:rsidR="006640CF" w:rsidRPr="006640CF">
        <w:rPr>
          <w:b/>
          <w:bCs/>
          <w:highlight w:val="yellow"/>
          <w:lang w:val="fr-FR"/>
        </w:rPr>
        <w:t xml:space="preserve"> et </w:t>
      </w:r>
      <w:r w:rsidR="006640CF" w:rsidRPr="006640CF">
        <w:rPr>
          <w:b/>
          <w:highlight w:val="yellow"/>
          <w:lang w:val="fr-FR"/>
        </w:rPr>
        <w:t xml:space="preserve">contribuez </w:t>
      </w:r>
      <w:r w:rsidR="006640CF">
        <w:rPr>
          <w:b/>
          <w:highlight w:val="yellow"/>
          <w:lang w:val="fr-FR"/>
        </w:rPr>
        <w:t xml:space="preserve">ainsi </w:t>
      </w:r>
      <w:r w:rsidR="006640CF" w:rsidRPr="006640CF">
        <w:rPr>
          <w:b/>
          <w:bCs/>
          <w:highlight w:val="yellow"/>
          <w:lang w:val="fr-FR"/>
        </w:rPr>
        <w:t>aux progrès des connaissances médicales et scientifiques sur la dysfonction érectile</w:t>
      </w:r>
      <w:r w:rsidR="006640CF">
        <w:rPr>
          <w:b/>
          <w:bCs/>
          <w:highlight w:val="yellow"/>
          <w:lang w:val="fr-FR"/>
        </w:rPr>
        <w:t>.</w:t>
      </w:r>
    </w:p>
    <w:p w14:paraId="4CAECD0B" w14:textId="77777777" w:rsidR="00CA1D9F" w:rsidRPr="00CA1D9F" w:rsidRDefault="00CA1D9F" w:rsidP="00E346C3">
      <w:pPr>
        <w:tabs>
          <w:tab w:val="left" w:pos="0"/>
        </w:tabs>
        <w:spacing w:line="280" w:lineRule="auto"/>
        <w:ind w:left="720" w:firstLine="0"/>
        <w:rPr>
          <w:lang w:val="fr-FR"/>
        </w:rPr>
      </w:pPr>
    </w:p>
    <w:p w14:paraId="68FCF709" w14:textId="77777777" w:rsidR="00CA1D9F" w:rsidRDefault="00CA1D9F" w:rsidP="009369FA">
      <w:pPr>
        <w:spacing w:line="280" w:lineRule="auto"/>
        <w:rPr>
          <w:lang w:val="fr-FR"/>
        </w:rPr>
      </w:pPr>
    </w:p>
    <w:p w14:paraId="4B9DFE84" w14:textId="77777777" w:rsidR="001E214F" w:rsidRPr="00781A86" w:rsidRDefault="001E214F" w:rsidP="009369FA">
      <w:pPr>
        <w:spacing w:line="280" w:lineRule="auto"/>
        <w:rPr>
          <w:lang w:val="fr-FR"/>
        </w:rPr>
      </w:pPr>
    </w:p>
    <w:p w14:paraId="56BFC2EA" w14:textId="634273AF" w:rsidR="0027696A" w:rsidRDefault="0027696A" w:rsidP="004956C3">
      <w:pPr>
        <w:ind w:firstLine="0"/>
        <w:rPr>
          <w:color w:val="FF0000"/>
          <w:lang w:val="fr-FR"/>
        </w:rPr>
      </w:pPr>
    </w:p>
    <w:p w14:paraId="15A55E8E" w14:textId="77777777" w:rsidR="009369FA" w:rsidRPr="00781A86" w:rsidRDefault="009369FA" w:rsidP="009369FA">
      <w:pPr>
        <w:spacing w:line="280" w:lineRule="auto"/>
        <w:rPr>
          <w:color w:val="FF0000"/>
          <w:lang w:val="fr-FR"/>
        </w:rPr>
      </w:pPr>
      <w:r w:rsidRPr="00781A86">
        <w:rPr>
          <w:color w:val="FF0000"/>
          <w:lang w:val="fr-FR"/>
        </w:rPr>
        <w:t>Page 2</w:t>
      </w:r>
    </w:p>
    <w:p w14:paraId="0429355F" w14:textId="054CCD6B" w:rsidR="009369FA" w:rsidRPr="00781A86" w:rsidRDefault="009369FA" w:rsidP="00660CA7">
      <w:pPr>
        <w:pStyle w:val="BasicParagraph"/>
        <w:suppressAutoHyphens/>
        <w:bidi w:val="0"/>
        <w:spacing w:before="160"/>
        <w:rPr>
          <w:rFonts w:asciiTheme="minorHAnsi" w:hAnsiTheme="minorHAnsi" w:cs="DaxOT-Medium"/>
          <w:b/>
          <w:bCs/>
          <w:caps/>
          <w:color w:val="00ADEF"/>
          <w:lang w:val="fr-FR"/>
        </w:rPr>
      </w:pPr>
      <w:r w:rsidRPr="00781A86">
        <w:rPr>
          <w:rFonts w:asciiTheme="minorHAnsi" w:hAnsiTheme="minorHAnsi" w:cs="DaxOT-Medium"/>
          <w:b/>
          <w:bCs/>
          <w:caps/>
          <w:color w:val="00ADEF"/>
          <w:lang w:val="fr-FR"/>
        </w:rPr>
        <w:lastRenderedPageBreak/>
        <w:t>QU’EST-CE QUE L’EDSWT</w:t>
      </w:r>
      <w:r w:rsidR="00E36958">
        <w:rPr>
          <w:lang w:val="fr-FR"/>
        </w:rPr>
        <w:t xml:space="preserve"> </w:t>
      </w:r>
      <w:r w:rsidRPr="00295996">
        <w:rPr>
          <w:rFonts w:asciiTheme="minorHAnsi" w:hAnsiTheme="minorHAnsi" w:cs="DaxOT-Medium"/>
          <w:b/>
          <w:bCs/>
          <w:caps/>
          <w:color w:val="FF0000"/>
          <w:highlight w:val="yellow"/>
          <w:lang w:val="fr-FR"/>
        </w:rPr>
        <w:t>?</w:t>
      </w:r>
    </w:p>
    <w:p w14:paraId="22AE5D3D" w14:textId="77777777" w:rsidR="00846A45" w:rsidRDefault="00846A45" w:rsidP="00660CA7">
      <w:pPr>
        <w:jc w:val="both"/>
        <w:rPr>
          <w:lang w:val="fr-FR"/>
        </w:rPr>
      </w:pPr>
    </w:p>
    <w:p w14:paraId="133FFDF3" w14:textId="74D125EE" w:rsidR="00846A45" w:rsidRPr="00504025" w:rsidRDefault="00846A45" w:rsidP="00846A45">
      <w:pPr>
        <w:autoSpaceDE w:val="0"/>
        <w:autoSpaceDN w:val="0"/>
        <w:adjustRightInd w:val="0"/>
        <w:jc w:val="both"/>
        <w:rPr>
          <w:rFonts w:cs="Calibri"/>
          <w:color w:val="FF0000"/>
          <w:lang w:val="fr"/>
        </w:rPr>
      </w:pPr>
      <w:r>
        <w:rPr>
          <w:rFonts w:cs="Calibri"/>
          <w:lang w:val="fr"/>
        </w:rPr>
        <w:t>L’EDSWT (</w:t>
      </w:r>
      <w:r>
        <w:rPr>
          <w:rFonts w:cs="Calibri"/>
          <w:b/>
          <w:bCs/>
          <w:caps/>
          <w:color w:val="FF0000"/>
          <w:lang w:val="fr"/>
        </w:rPr>
        <w:t>Erectile dysf</w:t>
      </w:r>
      <w:r w:rsidRPr="00700791">
        <w:rPr>
          <w:rFonts w:cs="Calibri"/>
          <w:b/>
          <w:bCs/>
          <w:caps/>
          <w:color w:val="FF0000"/>
          <w:lang w:val="fr"/>
        </w:rPr>
        <w:t>u</w:t>
      </w:r>
      <w:r>
        <w:rPr>
          <w:rFonts w:cs="Calibri"/>
          <w:b/>
          <w:bCs/>
          <w:caps/>
          <w:color w:val="FF0000"/>
          <w:lang w:val="fr"/>
        </w:rPr>
        <w:t>nction shock wave therapy</w:t>
      </w:r>
      <w:r>
        <w:rPr>
          <w:rFonts w:cs="Calibri"/>
          <w:lang w:val="fr"/>
        </w:rPr>
        <w:t xml:space="preserve">), est conçue pour traiter la dysfonction érectile (DE). Cette prise en charge thérapeutique innovante utilise les ondes de choc extracorporelles de faible intensité. </w:t>
      </w:r>
      <w:r>
        <w:rPr>
          <w:rFonts w:cs="Calibri"/>
          <w:color w:val="0000FF"/>
          <w:lang w:val="fr"/>
        </w:rPr>
        <w:t>Depuis 2005, des travaux de recherche ont montré la capacité des ondes de choc à améliorer la vascularisatio</w:t>
      </w:r>
      <w:r w:rsidR="00504025">
        <w:rPr>
          <w:rFonts w:cs="Calibri"/>
          <w:color w:val="0000FF"/>
          <w:lang w:val="fr"/>
        </w:rPr>
        <w:t xml:space="preserve">n myocardique dans des modèles de </w:t>
      </w:r>
      <w:r w:rsidRPr="003C1913">
        <w:rPr>
          <w:rFonts w:cs="Calibri"/>
          <w:color w:val="0000FF"/>
          <w:lang w:val="fr"/>
        </w:rPr>
        <w:t>coronaropathie</w:t>
      </w:r>
      <w:r w:rsidR="00504025">
        <w:rPr>
          <w:rFonts w:cs="Calibri"/>
          <w:color w:val="0000FF"/>
          <w:lang w:val="fr"/>
        </w:rPr>
        <w:t xml:space="preserve"> (</w:t>
      </w:r>
      <w:r w:rsidR="00504025">
        <w:rPr>
          <w:rFonts w:cs="Calibri"/>
          <w:color w:val="FF0000"/>
          <w:lang w:val="fr"/>
        </w:rPr>
        <w:t xml:space="preserve">please delete the </w:t>
      </w:r>
      <w:r w:rsidR="00504025" w:rsidRPr="00504025">
        <w:rPr>
          <w:rFonts w:cs="Calibri"/>
          <w:color w:val="FF0000"/>
          <w:highlight w:val="yellow"/>
          <w:lang w:val="fr"/>
        </w:rPr>
        <w:t>–</w:t>
      </w:r>
      <w:r w:rsidR="00504025">
        <w:rPr>
          <w:rFonts w:cs="Calibri"/>
          <w:color w:val="FF0000"/>
          <w:lang w:val="fr"/>
        </w:rPr>
        <w:t xml:space="preserve"> between « de » and « coronaropathie).</w:t>
      </w:r>
    </w:p>
    <w:p w14:paraId="0CA78FB0" w14:textId="77777777" w:rsidR="00846A45" w:rsidRDefault="00846A45" w:rsidP="00846A45">
      <w:pPr>
        <w:ind w:firstLine="0"/>
        <w:jc w:val="both"/>
        <w:rPr>
          <w:lang w:val="fr-FR"/>
        </w:rPr>
      </w:pPr>
    </w:p>
    <w:p w14:paraId="44D63569" w14:textId="49BC9B36" w:rsidR="00015320" w:rsidRDefault="00015320" w:rsidP="00015320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>
        <w:rPr>
          <w:rFonts w:cs="Calibri"/>
          <w:lang w:val="fr"/>
        </w:rPr>
        <w:t xml:space="preserve">Les ondes de choc sont générées par la machine (ou générateur) et sont délivrées </w:t>
      </w:r>
      <w:r w:rsidRPr="003C1913">
        <w:rPr>
          <w:rFonts w:cs="Calibri"/>
          <w:lang w:val="fr"/>
        </w:rPr>
        <w:t>sur les différentes zones de la verge à traiter. L’hypothèse aujourd’hui privilégiée est que les ondes de choc favorisent une néo-angiogénèse au sein du tissu érectile. Cette néo-angiogénèse améliorant la vascularisation des corps caverneux,</w:t>
      </w:r>
      <w:r>
        <w:rPr>
          <w:rFonts w:cs="Calibri"/>
          <w:lang w:val="fr"/>
        </w:rPr>
        <w:t xml:space="preserve"> favoriserait la réponse érectile lors d’une stimulation sexuelle, corrigeant ainsi la dysfonction érectile. </w:t>
      </w:r>
    </w:p>
    <w:p w14:paraId="3AD7F44E" w14:textId="77777777" w:rsidR="00015320" w:rsidRDefault="00015320" w:rsidP="00015320">
      <w:pPr>
        <w:ind w:firstLine="0"/>
        <w:jc w:val="both"/>
        <w:rPr>
          <w:lang w:val="fr-FR"/>
        </w:rPr>
      </w:pPr>
    </w:p>
    <w:p w14:paraId="2F026ACF" w14:textId="77777777" w:rsidR="00293EA4" w:rsidRPr="007D0156" w:rsidRDefault="00293EA4" w:rsidP="00015320">
      <w:pPr>
        <w:ind w:firstLine="0"/>
        <w:jc w:val="both"/>
        <w:rPr>
          <w:lang w:val="fr-FR"/>
        </w:rPr>
      </w:pPr>
    </w:p>
    <w:p w14:paraId="4079B9C2" w14:textId="3E5A8C2C" w:rsidR="008F6D60" w:rsidRDefault="008F6D60" w:rsidP="004F527B">
      <w:pPr>
        <w:suppressAutoHyphens/>
        <w:autoSpaceDE w:val="0"/>
        <w:autoSpaceDN w:val="0"/>
        <w:adjustRightInd w:val="0"/>
        <w:spacing w:after="160" w:line="288" w:lineRule="auto"/>
        <w:ind w:firstLine="0"/>
        <w:jc w:val="both"/>
        <w:textAlignment w:val="center"/>
        <w:rPr>
          <w:rFonts w:cs="DaxOT-Light"/>
          <w:color w:val="000000"/>
          <w:lang w:val="fr-FR" w:bidi="ar-YE"/>
        </w:rPr>
      </w:pPr>
    </w:p>
    <w:p w14:paraId="754591FD" w14:textId="32DA6A8D" w:rsidR="00143B48" w:rsidRDefault="00BF14EC" w:rsidP="00143B48">
      <w:pPr>
        <w:suppressAutoHyphens/>
        <w:autoSpaceDE w:val="0"/>
        <w:autoSpaceDN w:val="0"/>
        <w:adjustRightInd w:val="0"/>
        <w:spacing w:after="160" w:line="288" w:lineRule="auto"/>
        <w:ind w:firstLine="0"/>
        <w:jc w:val="both"/>
        <w:textAlignment w:val="center"/>
        <w:rPr>
          <w:rFonts w:cs="DaxOT-Light"/>
          <w:color w:val="000000"/>
          <w:lang w:val="fr-FR" w:bidi="ar-YE"/>
        </w:rPr>
      </w:pPr>
      <w:r w:rsidRPr="00BF14EC">
        <w:rPr>
          <w:rFonts w:cs="DaxOT-Light"/>
          <w:noProof/>
          <w:color w:val="000000"/>
          <w:lang w:eastAsia="en-GB"/>
        </w:rPr>
        <w:drawing>
          <wp:inline distT="0" distB="0" distL="0" distR="0" wp14:anchorId="1229B3E2" wp14:editId="7C32535B">
            <wp:extent cx="5731510" cy="4701540"/>
            <wp:effectExtent l="0" t="0" r="889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93B5" w14:textId="77777777" w:rsidR="002D482D" w:rsidRDefault="002D482D" w:rsidP="00143B48">
      <w:pPr>
        <w:suppressAutoHyphens/>
        <w:autoSpaceDE w:val="0"/>
        <w:autoSpaceDN w:val="0"/>
        <w:adjustRightInd w:val="0"/>
        <w:spacing w:after="160" w:line="288" w:lineRule="auto"/>
        <w:ind w:firstLine="0"/>
        <w:jc w:val="both"/>
        <w:textAlignment w:val="center"/>
        <w:rPr>
          <w:rFonts w:cs="DaxOT-Light"/>
          <w:color w:val="000000"/>
          <w:lang w:val="fr-FR" w:bidi="ar-YE"/>
        </w:rPr>
      </w:pPr>
    </w:p>
    <w:p w14:paraId="5E1B54AE" w14:textId="639B331E" w:rsidR="002D482D" w:rsidRPr="002D482D" w:rsidRDefault="002D482D" w:rsidP="002D482D">
      <w:pPr>
        <w:suppressAutoHyphens/>
        <w:autoSpaceDE w:val="0"/>
        <w:autoSpaceDN w:val="0"/>
        <w:adjustRightInd w:val="0"/>
        <w:spacing w:line="288" w:lineRule="atLeast"/>
        <w:jc w:val="both"/>
        <w:rPr>
          <w:rFonts w:cs="Calibri"/>
          <w:color w:val="000000"/>
          <w:lang w:val="fr"/>
        </w:rPr>
      </w:pPr>
      <w:r w:rsidRPr="003C1913">
        <w:rPr>
          <w:rFonts w:cs="Calibri"/>
          <w:color w:val="000000"/>
          <w:lang w:val="fr"/>
        </w:rPr>
        <w:t>Les ondes de choc de faible intensité</w:t>
      </w:r>
      <w:r>
        <w:rPr>
          <w:rFonts w:cs="Calibri"/>
          <w:color w:val="000000"/>
          <w:lang w:val="fr"/>
        </w:rPr>
        <w:t xml:space="preserve"> font l’objet d’essais cliniques en cardiologie pour le traitement de l’ischémie myocardique. En orthopédie / rhumatologie, les ondes de choc sont utilisées en routine pour traiter différents types de lésions de l’appareil </w:t>
      </w:r>
      <w:r>
        <w:rPr>
          <w:rFonts w:cs="Calibri"/>
          <w:color w:val="000000"/>
          <w:lang w:val="fr"/>
        </w:rPr>
        <w:lastRenderedPageBreak/>
        <w:t>locomoteur, en particulier les calcifications de l’épaule, les tendinopathies (enthésopathies), les bursites et les fasciites plantaires.</w:t>
      </w:r>
    </w:p>
    <w:p w14:paraId="78B552B2" w14:textId="77777777" w:rsidR="009369FA" w:rsidRPr="00781A86" w:rsidRDefault="009369FA" w:rsidP="00143B48">
      <w:pPr>
        <w:spacing w:line="280" w:lineRule="auto"/>
        <w:ind w:firstLine="0"/>
        <w:rPr>
          <w:lang w:val="fr-FR"/>
        </w:rPr>
      </w:pPr>
    </w:p>
    <w:p w14:paraId="5F326E79" w14:textId="556369CC" w:rsidR="009369FA" w:rsidRPr="00781A86" w:rsidRDefault="009369FA" w:rsidP="009369FA">
      <w:pPr>
        <w:pStyle w:val="BasicParagraph"/>
        <w:suppressAutoHyphens/>
        <w:bidi w:val="0"/>
        <w:spacing w:before="160"/>
        <w:rPr>
          <w:rFonts w:asciiTheme="minorHAnsi" w:hAnsiTheme="minorHAnsi" w:cs="DaxOT-Medium"/>
          <w:b/>
          <w:bCs/>
          <w:caps/>
          <w:color w:val="FF0000"/>
          <w:lang w:val="fr-FR"/>
        </w:rPr>
      </w:pPr>
      <w:r w:rsidRPr="00781A86">
        <w:rPr>
          <w:rFonts w:asciiTheme="minorHAnsi" w:hAnsiTheme="minorHAnsi" w:cs="DaxOT-Medium"/>
          <w:b/>
          <w:bCs/>
          <w:caps/>
          <w:color w:val="00ADEF"/>
          <w:lang w:val="fr-FR"/>
        </w:rPr>
        <w:t xml:space="preserve">EDSWT: </w:t>
      </w:r>
      <w:r w:rsidR="00F32ACE" w:rsidRPr="00781A86">
        <w:rPr>
          <w:rFonts w:asciiTheme="minorHAnsi" w:hAnsiTheme="minorHAnsi" w:cs="DaxOT-Medium"/>
          <w:b/>
          <w:bCs/>
          <w:caps/>
          <w:color w:val="FF0000"/>
          <w:lang w:val="fr-FR"/>
        </w:rPr>
        <w:t>une n</w:t>
      </w:r>
      <w:r w:rsidR="00C41A79" w:rsidRPr="00781A86">
        <w:rPr>
          <w:rFonts w:asciiTheme="minorHAnsi" w:hAnsiTheme="minorHAnsi" w:cs="DaxOT-Medium"/>
          <w:b/>
          <w:bCs/>
          <w:caps/>
          <w:color w:val="FF0000"/>
          <w:lang w:val="fr-FR"/>
        </w:rPr>
        <w:t xml:space="preserve">ouvelle solution </w:t>
      </w:r>
      <w:r w:rsidR="003678DB">
        <w:rPr>
          <w:rFonts w:asciiTheme="minorHAnsi" w:hAnsiTheme="minorHAnsi" w:cs="DaxOT-Medium"/>
          <w:b/>
          <w:bCs/>
          <w:caps/>
          <w:color w:val="FF0000"/>
          <w:lang w:val="fr-FR"/>
        </w:rPr>
        <w:t>THERAPEUTIQUE AUX RESULTATS DURABLES</w:t>
      </w:r>
    </w:p>
    <w:p w14:paraId="2CC502E2" w14:textId="77777777" w:rsidR="00C605B1" w:rsidRPr="00513762" w:rsidRDefault="00C605B1" w:rsidP="009B6C7B">
      <w:pPr>
        <w:ind w:left="170" w:firstLine="0"/>
        <w:jc w:val="both"/>
        <w:rPr>
          <w:lang w:val="fr-FR"/>
        </w:rPr>
      </w:pPr>
      <w:r w:rsidRPr="00513762">
        <w:rPr>
          <w:lang w:val="fr-FR"/>
        </w:rPr>
        <w:t xml:space="preserve">Des millions d’hommes souffrent de dysfonction </w:t>
      </w:r>
      <w:r w:rsidR="00E6703B" w:rsidRPr="00513762">
        <w:rPr>
          <w:lang w:val="fr-FR"/>
        </w:rPr>
        <w:t>érectile</w:t>
      </w:r>
      <w:r w:rsidR="004F527B" w:rsidRPr="00513762">
        <w:rPr>
          <w:lang w:val="fr-FR"/>
        </w:rPr>
        <w:t xml:space="preserve"> (DE)</w:t>
      </w:r>
      <w:r w:rsidRPr="00513762">
        <w:rPr>
          <w:lang w:val="fr-FR"/>
        </w:rPr>
        <w:t xml:space="preserve"> en France.</w:t>
      </w:r>
    </w:p>
    <w:p w14:paraId="1D0C534C" w14:textId="14249FC3" w:rsidR="00C605B1" w:rsidRPr="00513762" w:rsidRDefault="003678DB" w:rsidP="009B6C7B">
      <w:pPr>
        <w:ind w:left="170" w:firstLine="0"/>
        <w:jc w:val="both"/>
        <w:rPr>
          <w:lang w:val="fr-FR"/>
        </w:rPr>
      </w:pPr>
      <w:r>
        <w:rPr>
          <w:lang w:val="fr-FR"/>
        </w:rPr>
        <w:t>Pour nombre</w:t>
      </w:r>
      <w:r w:rsidR="004F527B" w:rsidRPr="00513762">
        <w:rPr>
          <w:lang w:val="fr-FR"/>
        </w:rPr>
        <w:t xml:space="preserve"> d’entre eux</w:t>
      </w:r>
      <w:r w:rsidR="00C605B1" w:rsidRPr="00513762">
        <w:rPr>
          <w:lang w:val="fr-FR"/>
        </w:rPr>
        <w:t xml:space="preserve">, la cause est d’origine vasculaire </w:t>
      </w:r>
      <w:r w:rsidR="00506224" w:rsidRPr="00513762">
        <w:rPr>
          <w:lang w:val="fr-FR"/>
        </w:rPr>
        <w:t xml:space="preserve">et / </w:t>
      </w:r>
      <w:r w:rsidR="00C605B1" w:rsidRPr="00513762">
        <w:rPr>
          <w:lang w:val="fr-FR"/>
        </w:rPr>
        <w:t>ou diabétique.</w:t>
      </w:r>
    </w:p>
    <w:p w14:paraId="7CE4511D" w14:textId="571372D9" w:rsidR="00C605B1" w:rsidRPr="00781A86" w:rsidRDefault="00C605B1" w:rsidP="00BE41F9">
      <w:pPr>
        <w:jc w:val="both"/>
        <w:rPr>
          <w:lang w:val="fr-FR"/>
        </w:rPr>
      </w:pPr>
      <w:r w:rsidRPr="00781A86">
        <w:rPr>
          <w:lang w:val="fr-FR"/>
        </w:rPr>
        <w:t xml:space="preserve">Les  solutions disponibles à ce jour, </w:t>
      </w:r>
      <w:r w:rsidRPr="00781A86">
        <w:rPr>
          <w:rFonts w:cs="DaxOT-Light"/>
          <w:lang w:val="fr-FR" w:bidi="ar-YE"/>
        </w:rPr>
        <w:t xml:space="preserve">à savoir </w:t>
      </w:r>
      <w:r w:rsidR="003678DB">
        <w:rPr>
          <w:rFonts w:cs="DaxOT-Light"/>
          <w:lang w:val="fr-FR" w:bidi="ar-YE"/>
        </w:rPr>
        <w:t>I</w:t>
      </w:r>
      <w:r w:rsidRPr="00781A86">
        <w:rPr>
          <w:rFonts w:cs="DaxOT-Light"/>
          <w:lang w:val="fr-FR" w:bidi="ar-YE"/>
        </w:rPr>
        <w:t>PDE5</w:t>
      </w:r>
      <w:r w:rsidR="00901FFE">
        <w:rPr>
          <w:rFonts w:cs="DaxOT-Light"/>
          <w:lang w:val="fr-FR" w:bidi="ar-YE"/>
        </w:rPr>
        <w:t xml:space="preserve"> par voie </w:t>
      </w:r>
      <w:r w:rsidR="00CA42A1">
        <w:rPr>
          <w:rFonts w:cs="DaxOT-Light"/>
          <w:lang w:val="fr-FR" w:bidi="ar-YE"/>
        </w:rPr>
        <w:t xml:space="preserve">orale - </w:t>
      </w:r>
      <w:r w:rsidR="00901FFE">
        <w:rPr>
          <w:rFonts w:cs="DaxOT-Light"/>
          <w:lang w:val="fr-FR" w:bidi="ar-YE"/>
        </w:rPr>
        <w:t xml:space="preserve">vacuum ou pompes à vide – injections </w:t>
      </w:r>
      <w:proofErr w:type="spellStart"/>
      <w:r w:rsidR="00901FFE">
        <w:rPr>
          <w:rFonts w:cs="DaxOT-Light"/>
          <w:lang w:val="fr-FR" w:bidi="ar-YE"/>
        </w:rPr>
        <w:t>intracaverneuses</w:t>
      </w:r>
      <w:proofErr w:type="spellEnd"/>
      <w:r w:rsidR="00901FFE">
        <w:rPr>
          <w:rFonts w:cs="DaxOT-Light"/>
          <w:lang w:val="fr-FR" w:bidi="ar-YE"/>
        </w:rPr>
        <w:t xml:space="preserve"> de prostaglandine E1, voire </w:t>
      </w:r>
      <w:r w:rsidRPr="00781A86">
        <w:rPr>
          <w:rFonts w:cs="DaxOT-Light"/>
          <w:lang w:val="fr-FR" w:bidi="ar-YE"/>
        </w:rPr>
        <w:t>implants</w:t>
      </w:r>
      <w:r w:rsidR="00901FFE">
        <w:rPr>
          <w:rFonts w:cs="DaxOT-Light"/>
          <w:lang w:val="fr-FR" w:bidi="ar-YE"/>
        </w:rPr>
        <w:t xml:space="preserve"> péniens ou prothèses</w:t>
      </w:r>
      <w:r w:rsidRPr="00781A86">
        <w:rPr>
          <w:rFonts w:cs="DaxOT-Light"/>
          <w:lang w:val="fr-FR" w:bidi="ar-YE"/>
        </w:rPr>
        <w:t>,</w:t>
      </w:r>
      <w:r w:rsidRPr="00781A86">
        <w:rPr>
          <w:lang w:val="fr-FR"/>
        </w:rPr>
        <w:t xml:space="preserve"> </w:t>
      </w:r>
      <w:r w:rsidR="00901FFE">
        <w:rPr>
          <w:lang w:val="fr-FR"/>
        </w:rPr>
        <w:t xml:space="preserve">sont </w:t>
      </w:r>
      <w:r w:rsidR="00BE41F9">
        <w:rPr>
          <w:lang w:val="fr-FR"/>
        </w:rPr>
        <w:t xml:space="preserve">des traitements </w:t>
      </w:r>
      <w:r w:rsidR="00BE41F9" w:rsidRPr="0010007C">
        <w:rPr>
          <w:b/>
          <w:lang w:val="fr-FR"/>
        </w:rPr>
        <w:t>symptomatiques</w:t>
      </w:r>
      <w:r w:rsidR="00BE41F9">
        <w:rPr>
          <w:lang w:val="fr-FR"/>
        </w:rPr>
        <w:t xml:space="preserve">. </w:t>
      </w:r>
      <w:r w:rsidRPr="00781A86">
        <w:rPr>
          <w:lang w:val="fr-FR"/>
        </w:rPr>
        <w:t>Le résultat est donc temporaire</w:t>
      </w:r>
      <w:r w:rsidR="00BE41F9">
        <w:rPr>
          <w:lang w:val="fr-FR"/>
        </w:rPr>
        <w:t xml:space="preserve"> (les implants mis à part)</w:t>
      </w:r>
      <w:r w:rsidRPr="00781A86">
        <w:rPr>
          <w:lang w:val="fr-FR"/>
        </w:rPr>
        <w:t xml:space="preserve"> et le traitement doit être renouvelé chaque fois que l’on souhaite obtenir une érection.</w:t>
      </w:r>
      <w:r w:rsidR="00BE41F9">
        <w:rPr>
          <w:lang w:val="fr-FR"/>
        </w:rPr>
        <w:t xml:space="preserve"> A l’arrêt du traitement, la dysfonction érectile persiste.</w:t>
      </w:r>
    </w:p>
    <w:p w14:paraId="2029D543" w14:textId="0DD833AE" w:rsidR="00CA42A1" w:rsidRDefault="00E13F4A" w:rsidP="009B6C7B">
      <w:pPr>
        <w:autoSpaceDE w:val="0"/>
        <w:autoSpaceDN w:val="0"/>
        <w:adjustRightInd w:val="0"/>
        <w:jc w:val="both"/>
        <w:rPr>
          <w:rFonts w:cs="DaxOT-Light"/>
          <w:b/>
          <w:sz w:val="24"/>
          <w:szCs w:val="24"/>
          <w:lang w:val="fr-FR" w:bidi="ar-YE"/>
        </w:rPr>
      </w:pPr>
      <w:r w:rsidRPr="00781A86">
        <w:rPr>
          <w:rFonts w:cs="DaxOT-Light"/>
          <w:lang w:val="fr-FR" w:bidi="ar-YE"/>
        </w:rPr>
        <w:t xml:space="preserve">A l’inverse, </w:t>
      </w:r>
      <w:r w:rsidRPr="00781A86">
        <w:rPr>
          <w:rFonts w:cs="DaxOT-Light"/>
          <w:b/>
          <w:sz w:val="24"/>
          <w:szCs w:val="24"/>
          <w:lang w:val="fr-FR" w:bidi="ar-YE"/>
        </w:rPr>
        <w:t xml:space="preserve">l’ESDWT traite </w:t>
      </w:r>
      <w:r w:rsidR="00CA42A1">
        <w:rPr>
          <w:rFonts w:cs="DaxOT-Light"/>
          <w:b/>
          <w:sz w:val="24"/>
          <w:szCs w:val="24"/>
          <w:lang w:val="fr-FR" w:bidi="ar-YE"/>
        </w:rPr>
        <w:t>non pas les conséquences mais la cause de dysfonction érectile en agissant directement sur les mécanismes physiopathologiques à l’origine de la DE.</w:t>
      </w:r>
      <w:r w:rsidR="00EB61C8">
        <w:rPr>
          <w:rFonts w:cs="DaxOT-Light"/>
          <w:b/>
          <w:sz w:val="24"/>
          <w:szCs w:val="24"/>
          <w:lang w:val="fr-FR" w:bidi="ar-YE"/>
        </w:rPr>
        <w:t xml:space="preserve"> </w:t>
      </w:r>
    </w:p>
    <w:p w14:paraId="5E08C2D0" w14:textId="5AD4AC30" w:rsidR="00B13376" w:rsidRPr="0010007C" w:rsidRDefault="00506224" w:rsidP="00C7064B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rFonts w:cs="DaxOT-Light"/>
          <w:lang w:val="fr-FR" w:bidi="ar-YE"/>
        </w:rPr>
        <w:t xml:space="preserve">En effet, </w:t>
      </w:r>
      <w:r w:rsidR="00DD7239">
        <w:rPr>
          <w:rFonts w:cs="DaxOT-Light"/>
          <w:lang w:val="fr-FR" w:bidi="ar-YE"/>
        </w:rPr>
        <w:t xml:space="preserve">les ondes de </w:t>
      </w:r>
      <w:r w:rsidR="00DD7239" w:rsidRPr="007D0156">
        <w:rPr>
          <w:lang w:val="fr-FR"/>
        </w:rPr>
        <w:t>choc de faible intensité</w:t>
      </w:r>
      <w:r w:rsidR="00DD7239">
        <w:rPr>
          <w:lang w:val="fr-FR"/>
        </w:rPr>
        <w:t xml:space="preserve"> délivrées par l’ED1000 améliorent vraisemblablement </w:t>
      </w:r>
      <w:r w:rsidR="00C7064B">
        <w:rPr>
          <w:lang w:val="fr-FR"/>
        </w:rPr>
        <w:t>la néo-</w:t>
      </w:r>
      <w:proofErr w:type="spellStart"/>
      <w:r w:rsidR="00C7064B">
        <w:rPr>
          <w:lang w:val="fr-FR"/>
        </w:rPr>
        <w:t>microvascularisation</w:t>
      </w:r>
      <w:proofErr w:type="spellEnd"/>
      <w:r w:rsidR="00C7064B">
        <w:rPr>
          <w:lang w:val="fr-FR"/>
        </w:rPr>
        <w:t xml:space="preserve"> du tissu érectile. Ceci permet </w:t>
      </w:r>
      <w:r w:rsidR="00C7064B" w:rsidRPr="00C7064B">
        <w:rPr>
          <w:rFonts w:cs="DaxOT"/>
          <w:color w:val="3366FF"/>
          <w:lang w:val="fr-FR" w:eastAsia="fr-FR"/>
        </w:rPr>
        <w:t>l’augmentation de l’afflux de sang lors d’une stimulation sexuelle, condition indispensable</w:t>
      </w:r>
      <w:r w:rsidR="00C7064B">
        <w:rPr>
          <w:rFonts w:cs="DaxOT"/>
          <w:color w:val="3366FF"/>
          <w:lang w:val="fr-FR" w:eastAsia="fr-FR"/>
        </w:rPr>
        <w:t xml:space="preserve"> à</w:t>
      </w:r>
      <w:r w:rsidR="00C7064B" w:rsidRPr="00C7064B">
        <w:rPr>
          <w:rFonts w:cs="DaxOT"/>
          <w:color w:val="3366FF"/>
          <w:lang w:val="fr-FR" w:eastAsia="fr-FR"/>
        </w:rPr>
        <w:t xml:space="preserve"> l’obtention et au maintien d’érections </w:t>
      </w:r>
      <w:r w:rsidR="00C7064B">
        <w:rPr>
          <w:rFonts w:cs="DaxOT"/>
          <w:color w:val="3366FF"/>
          <w:lang w:val="fr-FR" w:eastAsia="fr-FR"/>
        </w:rPr>
        <w:t xml:space="preserve">permettant des rapports </w:t>
      </w:r>
      <w:r w:rsidR="00C7064B" w:rsidRPr="00513762">
        <w:rPr>
          <w:rFonts w:cs="DaxOT"/>
          <w:color w:val="3366FF"/>
          <w:lang w:val="fr-FR" w:eastAsia="fr-FR"/>
        </w:rPr>
        <w:t>sexuels satisfaisant</w:t>
      </w:r>
      <w:r w:rsidR="00F54B8A">
        <w:rPr>
          <w:rFonts w:ascii="DaxOT" w:hAnsi="DaxOT" w:cs="DaxOT"/>
          <w:color w:val="3366FF"/>
          <w:sz w:val="18"/>
          <w:szCs w:val="18"/>
          <w:lang w:val="fr-FR" w:eastAsia="fr-FR"/>
        </w:rPr>
        <w:t xml:space="preserve">s. </w:t>
      </w:r>
      <w:r w:rsidR="00F54B8A">
        <w:rPr>
          <w:lang w:val="fr-FR"/>
        </w:rPr>
        <w:t xml:space="preserve">Ainsi, </w:t>
      </w:r>
      <w:r w:rsidR="00F54B8A" w:rsidRPr="0010007C">
        <w:rPr>
          <w:b/>
          <w:lang w:val="fr-FR"/>
        </w:rPr>
        <w:t>l</w:t>
      </w:r>
      <w:r w:rsidR="00C7064B" w:rsidRPr="0010007C">
        <w:rPr>
          <w:b/>
          <w:lang w:val="fr-FR"/>
        </w:rPr>
        <w:t>’ED-1000</w:t>
      </w:r>
      <w:r w:rsidR="00F54B8A" w:rsidRPr="0010007C">
        <w:rPr>
          <w:b/>
          <w:lang w:val="fr-FR"/>
        </w:rPr>
        <w:t xml:space="preserve"> représente </w:t>
      </w:r>
      <w:r w:rsidR="00C7064B" w:rsidRPr="0010007C">
        <w:rPr>
          <w:b/>
          <w:lang w:val="fr-FR"/>
        </w:rPr>
        <w:t>potentiellement un traitement curatif de la DE.</w:t>
      </w:r>
    </w:p>
    <w:p w14:paraId="11269A61" w14:textId="77777777" w:rsidR="00B13376" w:rsidRDefault="00B13376" w:rsidP="009B6C7B">
      <w:pPr>
        <w:ind w:firstLine="0"/>
        <w:jc w:val="both"/>
        <w:rPr>
          <w:rFonts w:cs="DaxOT-Light"/>
          <w:lang w:val="fr-FR" w:bidi="ar-YE"/>
        </w:rPr>
      </w:pPr>
    </w:p>
    <w:p w14:paraId="22E2C2AD" w14:textId="348D1314" w:rsidR="00767FE4" w:rsidRDefault="00E13F4A" w:rsidP="009B6C7B">
      <w:pPr>
        <w:jc w:val="both"/>
        <w:rPr>
          <w:rFonts w:cs="DaxOT-Light"/>
          <w:b/>
          <w:bCs/>
          <w:lang w:val="fr-FR" w:bidi="ar-YE"/>
        </w:rPr>
      </w:pPr>
      <w:r w:rsidRPr="00E6703B">
        <w:rPr>
          <w:rFonts w:cs="DaxOT-Light"/>
          <w:b/>
          <w:bCs/>
          <w:lang w:val="fr-FR" w:bidi="ar-YE"/>
        </w:rPr>
        <w:t xml:space="preserve">Le patient </w:t>
      </w:r>
      <w:r w:rsidR="00767FE4">
        <w:rPr>
          <w:rFonts w:cs="DaxOT-Light"/>
          <w:b/>
          <w:bCs/>
          <w:lang w:val="fr-FR" w:bidi="ar-YE"/>
        </w:rPr>
        <w:t>bénéficie d’une amélioration durable sur l’érection, sans intervention pharmacologique ni effet secondaire.</w:t>
      </w:r>
    </w:p>
    <w:p w14:paraId="249C4136" w14:textId="7618D3A2" w:rsidR="0010007C" w:rsidRDefault="0027696A" w:rsidP="0010007C">
      <w:pPr>
        <w:autoSpaceDE w:val="0"/>
        <w:autoSpaceDN w:val="0"/>
        <w:adjustRightInd w:val="0"/>
        <w:ind w:firstLine="0"/>
        <w:jc w:val="both"/>
        <w:rPr>
          <w:rFonts w:cs="Calibri"/>
          <w:b/>
          <w:bCs/>
          <w:lang w:val="fr"/>
        </w:rPr>
      </w:pPr>
      <w:r>
        <w:rPr>
          <w:rFonts w:cs="DaxOT-Light"/>
          <w:color w:val="000000"/>
          <w:lang w:val="fr-FR" w:bidi="ar-YE"/>
        </w:rPr>
        <w:br w:type="page"/>
      </w:r>
    </w:p>
    <w:p w14:paraId="38ABF99C" w14:textId="77777777" w:rsidR="0027696A" w:rsidRDefault="0027696A">
      <w:pPr>
        <w:ind w:firstLine="227"/>
        <w:rPr>
          <w:rFonts w:cs="DaxOT-Light"/>
          <w:color w:val="000000"/>
          <w:lang w:val="fr-FR" w:bidi="ar-YE"/>
        </w:rPr>
      </w:pPr>
    </w:p>
    <w:p w14:paraId="38939FA0" w14:textId="77777777" w:rsidR="00090DB9" w:rsidRDefault="00090DB9" w:rsidP="00A627A6">
      <w:pPr>
        <w:rPr>
          <w:rFonts w:cs="DaxOT-Light"/>
          <w:color w:val="000000"/>
          <w:lang w:val="fr-FR" w:bidi="ar-YE"/>
        </w:rPr>
      </w:pPr>
    </w:p>
    <w:p w14:paraId="125FA1AF" w14:textId="77777777" w:rsidR="00B17057" w:rsidRDefault="00B17057" w:rsidP="00B17057">
      <w:pPr>
        <w:rPr>
          <w:rFonts w:cs="DaxOT-Light"/>
          <w:b/>
          <w:color w:val="FF0000"/>
          <w:lang w:val="fr-FR" w:bidi="ar-YE"/>
        </w:rPr>
      </w:pPr>
      <w:r>
        <w:rPr>
          <w:rFonts w:cs="DaxOT-Light"/>
          <w:b/>
          <w:color w:val="FF0000"/>
          <w:lang w:val="fr-FR" w:bidi="ar-YE"/>
        </w:rPr>
        <w:t>Page 3</w:t>
      </w:r>
    </w:p>
    <w:p w14:paraId="0C1E4A69" w14:textId="7BC98FE1" w:rsidR="000F123A" w:rsidRDefault="000F123A" w:rsidP="000F123A">
      <w:pPr>
        <w:autoSpaceDE w:val="0"/>
        <w:autoSpaceDN w:val="0"/>
        <w:adjustRightInd w:val="0"/>
        <w:ind w:firstLine="0"/>
        <w:rPr>
          <w:rFonts w:cs="Calibri"/>
          <w:b/>
          <w:bCs/>
          <w:color w:val="FF0000"/>
          <w:lang w:val="fr"/>
        </w:rPr>
      </w:pPr>
      <w:r>
        <w:rPr>
          <w:rFonts w:cs="Calibri"/>
          <w:b/>
          <w:bCs/>
          <w:color w:val="FF0000"/>
          <w:lang w:val="fr"/>
        </w:rPr>
        <w:t>ED1000 pour quel  patient </w:t>
      </w:r>
      <w:r w:rsidR="00295996" w:rsidRPr="00295996">
        <w:rPr>
          <w:rFonts w:cs="DaxOT-Medium"/>
          <w:b/>
          <w:bCs/>
          <w:caps/>
          <w:color w:val="FF0000"/>
          <w:highlight w:val="yellow"/>
          <w:lang w:val="fr-FR"/>
        </w:rPr>
        <w:t>?</w:t>
      </w:r>
    </w:p>
    <w:p w14:paraId="715C367A" w14:textId="77777777" w:rsidR="000F123A" w:rsidRDefault="000F123A" w:rsidP="000F123A">
      <w:pPr>
        <w:autoSpaceDE w:val="0"/>
        <w:autoSpaceDN w:val="0"/>
        <w:adjustRightInd w:val="0"/>
        <w:ind w:firstLine="0"/>
        <w:rPr>
          <w:rFonts w:cs="Calibri"/>
          <w:strike/>
          <w:color w:val="000000"/>
          <w:lang w:val="fr"/>
        </w:rPr>
      </w:pPr>
    </w:p>
    <w:p w14:paraId="31DC8DF3" w14:textId="4FEFE1AF" w:rsidR="00A52864" w:rsidRDefault="00A52864" w:rsidP="00910C73">
      <w:pPr>
        <w:autoSpaceDE w:val="0"/>
        <w:autoSpaceDN w:val="0"/>
        <w:adjustRightInd w:val="0"/>
        <w:jc w:val="both"/>
        <w:rPr>
          <w:rFonts w:cs="Calibri"/>
          <w:color w:val="000000"/>
          <w:lang w:val="fr"/>
        </w:rPr>
      </w:pPr>
      <w:r>
        <w:rPr>
          <w:rFonts w:cs="Calibri"/>
          <w:color w:val="000000"/>
          <w:lang w:val="fr"/>
        </w:rPr>
        <w:t xml:space="preserve">Lorsque des </w:t>
      </w:r>
      <w:r>
        <w:rPr>
          <w:rFonts w:cs="Calibri"/>
          <w:b/>
          <w:bCs/>
          <w:color w:val="000000"/>
          <w:lang w:val="fr"/>
        </w:rPr>
        <w:t>facteurs de risque cardio-vasculaires</w:t>
      </w:r>
      <w:r>
        <w:rPr>
          <w:rFonts w:cs="Calibri"/>
          <w:color w:val="000000"/>
          <w:lang w:val="fr"/>
        </w:rPr>
        <w:t xml:space="preserve"> (</w:t>
      </w:r>
      <w:r w:rsidRPr="003C1913">
        <w:rPr>
          <w:rFonts w:cs="Calibri"/>
          <w:color w:val="000000"/>
          <w:lang w:val="fr"/>
        </w:rPr>
        <w:t>dyslipidémie</w:t>
      </w:r>
      <w:r>
        <w:rPr>
          <w:rFonts w:cs="Calibri"/>
          <w:color w:val="000000"/>
          <w:lang w:val="fr"/>
        </w:rPr>
        <w:t xml:space="preserve">, sédentarité, obésité, tabagisme … ) et / ou des </w:t>
      </w:r>
      <w:r>
        <w:rPr>
          <w:rFonts w:cs="Calibri"/>
          <w:b/>
          <w:bCs/>
          <w:color w:val="000000"/>
          <w:lang w:val="fr"/>
        </w:rPr>
        <w:t>maladies cardio-vasculaires</w:t>
      </w:r>
      <w:r>
        <w:rPr>
          <w:rFonts w:cs="Calibri"/>
          <w:color w:val="000000"/>
          <w:lang w:val="fr"/>
        </w:rPr>
        <w:t xml:space="preserve"> (hypertension artérielle, </w:t>
      </w:r>
      <w:r w:rsidR="00910C73" w:rsidRPr="003C1913">
        <w:rPr>
          <w:rFonts w:cs="Calibri"/>
          <w:strike/>
          <w:color w:val="000000"/>
          <w:highlight w:val="yellow"/>
          <w:lang w:val="fr"/>
        </w:rPr>
        <w:t>dyslipidémie</w:t>
      </w:r>
      <w:r w:rsidR="00910C73">
        <w:rPr>
          <w:rFonts w:cs="Calibri"/>
          <w:color w:val="000000"/>
          <w:lang w:val="fr"/>
        </w:rPr>
        <w:t xml:space="preserve">, </w:t>
      </w:r>
      <w:r>
        <w:rPr>
          <w:rFonts w:cs="Calibri"/>
          <w:color w:val="000000"/>
          <w:lang w:val="fr"/>
        </w:rPr>
        <w:t xml:space="preserve">coronaropathie, artériopathie chronique des membres inférieurs, …) et / ou un </w:t>
      </w:r>
      <w:r>
        <w:rPr>
          <w:rFonts w:cs="Calibri"/>
          <w:b/>
          <w:bCs/>
          <w:color w:val="000000"/>
          <w:lang w:val="fr"/>
        </w:rPr>
        <w:t>diabète</w:t>
      </w:r>
      <w:r>
        <w:rPr>
          <w:rFonts w:cs="Calibri"/>
          <w:color w:val="000000"/>
          <w:lang w:val="fr"/>
        </w:rPr>
        <w:t xml:space="preserve"> </w:t>
      </w:r>
      <w:r>
        <w:rPr>
          <w:rFonts w:cs="Calibri"/>
          <w:b/>
          <w:bCs/>
          <w:color w:val="000000"/>
          <w:lang w:val="fr"/>
        </w:rPr>
        <w:t>de type I ou II</w:t>
      </w:r>
      <w:r>
        <w:rPr>
          <w:rFonts w:cs="Calibri"/>
          <w:color w:val="000000"/>
          <w:lang w:val="fr"/>
        </w:rPr>
        <w:t xml:space="preserve"> sont impliqués dans la physiopathologie de la dysfonction érectile. </w:t>
      </w:r>
    </w:p>
    <w:p w14:paraId="78D45B76" w14:textId="043401D5" w:rsidR="000F123A" w:rsidRPr="00860B97" w:rsidRDefault="00234D71" w:rsidP="000F123A">
      <w:pPr>
        <w:autoSpaceDE w:val="0"/>
        <w:autoSpaceDN w:val="0"/>
        <w:adjustRightInd w:val="0"/>
        <w:ind w:firstLine="0"/>
        <w:rPr>
          <w:rFonts w:cs="Calibri"/>
          <w:b/>
          <w:color w:val="FF0000"/>
        </w:rPr>
      </w:pPr>
      <w:r w:rsidRPr="00860B97">
        <w:rPr>
          <w:rFonts w:cs="Calibri"/>
          <w:b/>
          <w:color w:val="FF0000"/>
          <w:highlight w:val="yellow"/>
        </w:rPr>
        <w:t>PLEASE RESPECT THE SPACE BETWEEN THOSE 2 SENTENCES</w:t>
      </w:r>
    </w:p>
    <w:p w14:paraId="05C5BA2D" w14:textId="77777777" w:rsidR="000F123A" w:rsidRDefault="000F123A" w:rsidP="000F123A">
      <w:pPr>
        <w:autoSpaceDE w:val="0"/>
        <w:autoSpaceDN w:val="0"/>
        <w:adjustRightInd w:val="0"/>
        <w:ind w:firstLine="0"/>
        <w:rPr>
          <w:rFonts w:cs="Calibri"/>
          <w:lang w:val="fr"/>
        </w:rPr>
      </w:pPr>
      <w:r>
        <w:rPr>
          <w:rFonts w:cs="Calibri"/>
          <w:lang w:val="fr"/>
        </w:rPr>
        <w:t xml:space="preserve">L’ED1000 </w:t>
      </w:r>
      <w:r w:rsidRPr="00CF374E">
        <w:rPr>
          <w:rFonts w:cs="Calibri"/>
          <w:b/>
          <w:lang w:val="fr"/>
        </w:rPr>
        <w:t>peut être efficace chez les patients non répondeurs aux IPDE5 par voie orale</w:t>
      </w:r>
      <w:r>
        <w:rPr>
          <w:rFonts w:cs="Calibri"/>
          <w:lang w:val="fr"/>
        </w:rPr>
        <w:t>.</w:t>
      </w:r>
    </w:p>
    <w:p w14:paraId="0D841104" w14:textId="77777777" w:rsidR="000F123A" w:rsidRDefault="000F123A" w:rsidP="000F123A">
      <w:pPr>
        <w:autoSpaceDE w:val="0"/>
        <w:autoSpaceDN w:val="0"/>
        <w:adjustRightInd w:val="0"/>
        <w:ind w:firstLine="0"/>
        <w:rPr>
          <w:rFonts w:cs="Calibri"/>
          <w:color w:val="000000"/>
          <w:lang w:val="fr"/>
        </w:rPr>
      </w:pPr>
    </w:p>
    <w:p w14:paraId="1E8D7091" w14:textId="77777777" w:rsidR="000F123A" w:rsidRDefault="000F123A" w:rsidP="000F123A">
      <w:pPr>
        <w:autoSpaceDE w:val="0"/>
        <w:autoSpaceDN w:val="0"/>
        <w:adjustRightInd w:val="0"/>
        <w:ind w:firstLine="0"/>
        <w:rPr>
          <w:rFonts w:cs="Calibri"/>
          <w:color w:val="000000"/>
          <w:lang w:val="fr"/>
        </w:rPr>
      </w:pPr>
      <w:r>
        <w:rPr>
          <w:rFonts w:cs="Calibri"/>
          <w:color w:val="000000"/>
          <w:lang w:val="fr"/>
        </w:rPr>
        <w:t xml:space="preserve">L’ED1000 </w:t>
      </w:r>
      <w:r w:rsidRPr="00CF374E">
        <w:rPr>
          <w:rFonts w:cs="Calibri"/>
          <w:b/>
          <w:color w:val="000000"/>
          <w:lang w:val="fr"/>
        </w:rPr>
        <w:t>peut être prescrit en association avec les traitements existants</w:t>
      </w:r>
      <w:r>
        <w:rPr>
          <w:rFonts w:cs="Calibri"/>
          <w:color w:val="000000"/>
          <w:lang w:val="fr"/>
        </w:rPr>
        <w:t xml:space="preserve"> : IPDE5 ou injections intracaverneuses de PGE1, </w:t>
      </w:r>
      <w:r w:rsidRPr="00CF374E">
        <w:rPr>
          <w:rFonts w:cs="Calibri"/>
          <w:b/>
          <w:color w:val="000000"/>
          <w:lang w:val="fr"/>
        </w:rPr>
        <w:t>améliorant ainsi leur efficacité.</w:t>
      </w:r>
    </w:p>
    <w:p w14:paraId="511B5072" w14:textId="77777777" w:rsidR="000F123A" w:rsidRDefault="000F123A" w:rsidP="008B287A">
      <w:pPr>
        <w:ind w:firstLine="0"/>
        <w:rPr>
          <w:rFonts w:cs="DaxOT-Light"/>
          <w:color w:val="000000"/>
          <w:lang w:val="fr-FR" w:bidi="ar-YE"/>
        </w:rPr>
      </w:pPr>
    </w:p>
    <w:p w14:paraId="244C7ADB" w14:textId="2F1A3F1C" w:rsidR="00E6703B" w:rsidRPr="00781A86" w:rsidRDefault="008B287A" w:rsidP="00B17057">
      <w:pPr>
        <w:rPr>
          <w:rFonts w:cs="DaxOT-Light"/>
          <w:color w:val="000000"/>
          <w:lang w:val="fr-FR" w:bidi="ar-YE"/>
        </w:rPr>
      </w:pPr>
      <w:r>
        <w:rPr>
          <w:rFonts w:cs="DaxOT-Light"/>
          <w:noProof/>
          <w:color w:val="000000"/>
          <w:lang w:eastAsia="en-GB"/>
        </w:rPr>
        <w:drawing>
          <wp:inline distT="0" distB="0" distL="0" distR="0" wp14:anchorId="750AC112" wp14:editId="76872575">
            <wp:extent cx="5731510" cy="3409177"/>
            <wp:effectExtent l="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EB44" w14:textId="77777777" w:rsidR="00B17057" w:rsidRPr="00781A86" w:rsidRDefault="00B17057" w:rsidP="00B17057">
      <w:pPr>
        <w:rPr>
          <w:rFonts w:cs="DaxOT-Light"/>
          <w:color w:val="000000"/>
          <w:lang w:val="fr-FR" w:bidi="ar-YE"/>
        </w:rPr>
      </w:pPr>
    </w:p>
    <w:p w14:paraId="4D64F4ED" w14:textId="77777777" w:rsidR="00BD6D49" w:rsidRDefault="00BD6D49" w:rsidP="00194619">
      <w:pPr>
        <w:jc w:val="both"/>
        <w:rPr>
          <w:rFonts w:cs="Calibri"/>
          <w:color w:val="000000"/>
          <w:lang w:val="fr"/>
        </w:rPr>
      </w:pPr>
    </w:p>
    <w:p w14:paraId="35150948" w14:textId="5EC5CB98" w:rsidR="00BD6D49" w:rsidRPr="00F44FA0" w:rsidRDefault="00BD6D49" w:rsidP="00194619">
      <w:pPr>
        <w:jc w:val="both"/>
        <w:rPr>
          <w:rFonts w:cs="Calibri"/>
          <w:b/>
          <w:color w:val="FF0000"/>
          <w:lang w:val="fr"/>
        </w:rPr>
      </w:pPr>
      <w:r w:rsidRPr="00F44FA0">
        <w:rPr>
          <w:rFonts w:cs="Calibri"/>
          <w:b/>
          <w:color w:val="FF0000"/>
          <w:highlight w:val="yellow"/>
          <w:lang w:val="fr"/>
        </w:rPr>
        <w:t>INSERT FG GRAPH</w:t>
      </w:r>
    </w:p>
    <w:p w14:paraId="0311D930" w14:textId="77777777" w:rsidR="00BD6D49" w:rsidRDefault="00BD6D49" w:rsidP="00194619">
      <w:pPr>
        <w:jc w:val="both"/>
        <w:rPr>
          <w:rFonts w:cs="Calibri"/>
          <w:color w:val="000000"/>
          <w:lang w:val="fr"/>
        </w:rPr>
      </w:pPr>
    </w:p>
    <w:p w14:paraId="5D0EA5FA" w14:textId="77777777" w:rsidR="00194619" w:rsidRDefault="00194619" w:rsidP="00194619">
      <w:pPr>
        <w:jc w:val="both"/>
        <w:rPr>
          <w:rFonts w:cs="DaxOT-Light"/>
          <w:color w:val="000000"/>
          <w:lang w:val="fr-FR" w:bidi="ar-YE"/>
        </w:rPr>
      </w:pPr>
      <w:r>
        <w:rPr>
          <w:rFonts w:cs="Calibri"/>
          <w:color w:val="000000"/>
          <w:lang w:val="fr"/>
        </w:rPr>
        <w:t xml:space="preserve">La solution ED1000 est en revanche </w:t>
      </w:r>
      <w:r>
        <w:rPr>
          <w:rFonts w:cs="Calibri"/>
          <w:b/>
          <w:bCs/>
          <w:color w:val="FF0000"/>
          <w:lang w:val="fr"/>
        </w:rPr>
        <w:t>contre-indiquée</w:t>
      </w:r>
      <w:r>
        <w:rPr>
          <w:rFonts w:cs="Calibri"/>
          <w:color w:val="000000"/>
          <w:lang w:val="fr"/>
        </w:rPr>
        <w:t xml:space="preserve"> </w:t>
      </w:r>
      <w:r>
        <w:rPr>
          <w:rFonts w:cs="Calibri"/>
          <w:b/>
          <w:bCs/>
          <w:color w:val="FF0000"/>
          <w:lang w:val="fr"/>
        </w:rPr>
        <w:t>en cas</w:t>
      </w:r>
      <w:r>
        <w:rPr>
          <w:rFonts w:cs="Calibri"/>
          <w:color w:val="000000"/>
          <w:lang w:val="fr"/>
        </w:rPr>
        <w:t xml:space="preserve"> de traitement par anti-coagulants ou de coagulopathie. </w:t>
      </w:r>
      <w:r w:rsidRPr="003C1913">
        <w:rPr>
          <w:rFonts w:cs="DaxOT-Light"/>
          <w:strike/>
          <w:color w:val="000000"/>
          <w:highlight w:val="yellow"/>
          <w:lang w:val="fr-FR" w:bidi="ar-YE"/>
        </w:rPr>
        <w:t>Enfin, des précautions sont à prendre si le patient est sous antiagrégants ou anti inflammatoires non stéroïdiens.</w:t>
      </w:r>
    </w:p>
    <w:p w14:paraId="25CEBE98" w14:textId="0160404F" w:rsidR="00194619" w:rsidRDefault="00194619" w:rsidP="00194619">
      <w:pPr>
        <w:autoSpaceDE w:val="0"/>
        <w:autoSpaceDN w:val="0"/>
        <w:adjustRightInd w:val="0"/>
        <w:jc w:val="both"/>
        <w:rPr>
          <w:rFonts w:cs="Calibri"/>
          <w:color w:val="000000"/>
          <w:lang w:val="fr"/>
        </w:rPr>
      </w:pPr>
    </w:p>
    <w:p w14:paraId="226D0D86" w14:textId="77777777" w:rsidR="00B17057" w:rsidRDefault="00B17057" w:rsidP="00B17057">
      <w:pPr>
        <w:jc w:val="both"/>
        <w:rPr>
          <w:rFonts w:cs="DaxOT-Light"/>
          <w:color w:val="000000"/>
          <w:lang w:val="fr-FR" w:bidi="ar-YE"/>
        </w:rPr>
      </w:pPr>
    </w:p>
    <w:p w14:paraId="4CACA1AD" w14:textId="77777777" w:rsidR="00B17057" w:rsidRPr="00781A86" w:rsidRDefault="00B17057" w:rsidP="00B17057">
      <w:pPr>
        <w:jc w:val="both"/>
        <w:rPr>
          <w:rFonts w:cs="DaxOT-Light"/>
          <w:color w:val="000000"/>
          <w:lang w:val="fr-FR" w:bidi="ar-YE"/>
        </w:rPr>
      </w:pPr>
    </w:p>
    <w:p w14:paraId="15C33514" w14:textId="77777777" w:rsidR="00B17057" w:rsidRPr="00781A86" w:rsidRDefault="00B17057" w:rsidP="00B17057">
      <w:pPr>
        <w:rPr>
          <w:rFonts w:cs="DaxOT-Light"/>
          <w:strike/>
          <w:color w:val="000000"/>
          <w:lang w:val="fr-FR" w:bidi="ar-YE"/>
        </w:rPr>
      </w:pPr>
    </w:p>
    <w:p w14:paraId="4D290193" w14:textId="77777777" w:rsidR="00B17057" w:rsidRDefault="00B17057" w:rsidP="0036468A">
      <w:pPr>
        <w:ind w:firstLine="0"/>
        <w:rPr>
          <w:noProof/>
          <w:lang w:val="fr-FR" w:eastAsia="en-GB"/>
        </w:rPr>
      </w:pPr>
    </w:p>
    <w:p w14:paraId="3D0AEB80" w14:textId="77777777" w:rsidR="00CA393B" w:rsidRDefault="00CA393B" w:rsidP="0036468A">
      <w:pPr>
        <w:ind w:firstLine="0"/>
        <w:rPr>
          <w:noProof/>
          <w:lang w:val="fr-FR" w:eastAsia="en-GB"/>
        </w:rPr>
      </w:pPr>
    </w:p>
    <w:p w14:paraId="66F95BA6" w14:textId="77777777" w:rsidR="00CA393B" w:rsidRDefault="00CA393B" w:rsidP="0036468A">
      <w:pPr>
        <w:ind w:firstLine="0"/>
        <w:rPr>
          <w:noProof/>
          <w:lang w:val="fr-FR" w:eastAsia="en-GB"/>
        </w:rPr>
      </w:pPr>
    </w:p>
    <w:p w14:paraId="5BA95565" w14:textId="77777777" w:rsidR="0036468A" w:rsidRDefault="0036468A" w:rsidP="0036468A">
      <w:pPr>
        <w:ind w:firstLine="0"/>
        <w:rPr>
          <w:noProof/>
          <w:lang w:val="fr-FR" w:eastAsia="en-GB"/>
        </w:rPr>
      </w:pPr>
    </w:p>
    <w:p w14:paraId="392E5159" w14:textId="77777777" w:rsidR="00B17057" w:rsidRDefault="00B17057" w:rsidP="001E214F">
      <w:pPr>
        <w:rPr>
          <w:noProof/>
          <w:lang w:val="fr-FR" w:eastAsia="en-GB"/>
        </w:rPr>
      </w:pPr>
    </w:p>
    <w:p w14:paraId="40F3A138" w14:textId="77777777" w:rsidR="00B17057" w:rsidRDefault="00B17057" w:rsidP="001E214F">
      <w:pPr>
        <w:rPr>
          <w:noProof/>
          <w:lang w:val="fr-FR" w:eastAsia="en-GB"/>
        </w:rPr>
      </w:pPr>
    </w:p>
    <w:p w14:paraId="5D7CABAC" w14:textId="77777777" w:rsidR="00C55643" w:rsidRPr="00314F29" w:rsidRDefault="00B17057" w:rsidP="001E214F">
      <w:pPr>
        <w:rPr>
          <w:noProof/>
          <w:color w:val="FF0000"/>
          <w:lang w:val="fr-FR" w:eastAsia="en-GB"/>
        </w:rPr>
      </w:pPr>
      <w:r w:rsidRPr="00314F29">
        <w:rPr>
          <w:noProof/>
          <w:color w:val="FF0000"/>
          <w:lang w:val="fr-FR" w:eastAsia="en-GB"/>
        </w:rPr>
        <w:t>Page 4</w:t>
      </w:r>
      <w:r w:rsidR="00090DB9" w:rsidRPr="00314F29">
        <w:rPr>
          <w:noProof/>
          <w:color w:val="FF0000"/>
          <w:lang w:val="fr-FR" w:eastAsia="en-GB"/>
        </w:rPr>
        <w:t xml:space="preserve"> </w:t>
      </w:r>
    </w:p>
    <w:p w14:paraId="12D2C685" w14:textId="1D022E47" w:rsidR="00090DB9" w:rsidRPr="001E214F" w:rsidRDefault="00817F21" w:rsidP="001E214F">
      <w:pPr>
        <w:rPr>
          <w:noProof/>
          <w:lang w:val="fr-FR" w:eastAsia="en-GB"/>
        </w:rPr>
      </w:pPr>
      <w:r>
        <w:rPr>
          <w:noProof/>
          <w:lang w:val="fr-FR" w:eastAsia="en-GB"/>
        </w:rPr>
        <w:t>Comment se déroule le traitement par ED1000 ?</w:t>
      </w:r>
    </w:p>
    <w:p w14:paraId="52E2E3FA" w14:textId="77777777" w:rsidR="00817F21" w:rsidRDefault="00817F21" w:rsidP="00817F21">
      <w:pPr>
        <w:autoSpaceDE w:val="0"/>
        <w:autoSpaceDN w:val="0"/>
        <w:adjustRightInd w:val="0"/>
        <w:ind w:firstLine="0"/>
        <w:jc w:val="both"/>
        <w:rPr>
          <w:rFonts w:cs="Calibri"/>
          <w:color w:val="000000"/>
          <w:lang w:val="fr"/>
        </w:rPr>
      </w:pPr>
    </w:p>
    <w:p w14:paraId="6550CB8E" w14:textId="0A1E9A9D" w:rsidR="00817F21" w:rsidRDefault="00817F21" w:rsidP="00817F21">
      <w:pPr>
        <w:autoSpaceDE w:val="0"/>
        <w:autoSpaceDN w:val="0"/>
        <w:adjustRightInd w:val="0"/>
        <w:jc w:val="both"/>
        <w:rPr>
          <w:rFonts w:cs="Calibri"/>
          <w:color w:val="000000"/>
          <w:lang w:val="fr"/>
        </w:rPr>
      </w:pPr>
      <w:r w:rsidRPr="00234D71">
        <w:rPr>
          <w:rFonts w:cs="Calibri"/>
          <w:b/>
          <w:bCs/>
          <w:lang w:val="fr"/>
        </w:rPr>
        <w:t>PREALABLE</w:t>
      </w:r>
      <w:r>
        <w:rPr>
          <w:rFonts w:cs="Calibri"/>
          <w:b/>
          <w:bCs/>
          <w:color w:val="000000"/>
          <w:u w:val="single"/>
          <w:lang w:val="fr"/>
        </w:rPr>
        <w:t> </w:t>
      </w:r>
      <w:r>
        <w:rPr>
          <w:rFonts w:cs="Calibri"/>
          <w:color w:val="000000"/>
          <w:lang w:val="fr"/>
        </w:rPr>
        <w:t xml:space="preserve">: Il s’agit d’un traitement médical. La prescription est donc indispensable. Une première visite chez </w:t>
      </w:r>
      <w:r w:rsidR="0036468A">
        <w:rPr>
          <w:rFonts w:cs="Calibri"/>
          <w:color w:val="000000"/>
          <w:lang w:val="fr"/>
        </w:rPr>
        <w:t xml:space="preserve">un </w:t>
      </w:r>
      <w:r>
        <w:rPr>
          <w:rFonts w:cs="Calibri"/>
          <w:color w:val="000000"/>
          <w:lang w:val="fr"/>
        </w:rPr>
        <w:t>médecin prenant en charge les dysfonction</w:t>
      </w:r>
      <w:r w:rsidR="00EB12AF" w:rsidRPr="003C1913">
        <w:rPr>
          <w:rFonts w:cs="Calibri"/>
          <w:color w:val="000000"/>
          <w:lang w:val="fr"/>
        </w:rPr>
        <w:t>s</w:t>
      </w:r>
      <w:r>
        <w:rPr>
          <w:rFonts w:cs="Calibri"/>
          <w:color w:val="000000"/>
          <w:lang w:val="fr"/>
        </w:rPr>
        <w:t xml:space="preserve"> sexuelles permet dans un 1</w:t>
      </w:r>
      <w:r w:rsidRPr="00CF374E">
        <w:rPr>
          <w:rFonts w:cs="Calibri"/>
          <w:color w:val="000000"/>
          <w:vertAlign w:val="superscript"/>
          <w:lang w:val="fr"/>
        </w:rPr>
        <w:t>er</w:t>
      </w:r>
      <w:r>
        <w:rPr>
          <w:rFonts w:cs="Calibri"/>
          <w:color w:val="000000"/>
          <w:lang w:val="fr"/>
        </w:rPr>
        <w:t xml:space="preserve"> temps de faire le diagnostic de la DE et dans un 2</w:t>
      </w:r>
      <w:r w:rsidRPr="00CF374E">
        <w:rPr>
          <w:rFonts w:cs="Calibri"/>
          <w:color w:val="000000"/>
          <w:vertAlign w:val="superscript"/>
          <w:lang w:val="fr"/>
        </w:rPr>
        <w:t>nd</w:t>
      </w:r>
      <w:r>
        <w:rPr>
          <w:rFonts w:cs="Calibri"/>
          <w:color w:val="000000"/>
          <w:lang w:val="fr"/>
        </w:rPr>
        <w:t xml:space="preserve"> temps le cas échéant de poser l’indication d’un traitement par ED1000. </w:t>
      </w:r>
    </w:p>
    <w:p w14:paraId="679DE957" w14:textId="77777777" w:rsidR="00817F21" w:rsidRDefault="00817F21" w:rsidP="00817F21">
      <w:pPr>
        <w:autoSpaceDE w:val="0"/>
        <w:autoSpaceDN w:val="0"/>
        <w:adjustRightInd w:val="0"/>
        <w:ind w:firstLine="0"/>
        <w:jc w:val="both"/>
        <w:rPr>
          <w:rFonts w:cs="Calibri"/>
          <w:color w:val="000000"/>
          <w:lang w:val="fr"/>
        </w:rPr>
      </w:pPr>
    </w:p>
    <w:p w14:paraId="0EEFEB5C" w14:textId="77777777" w:rsidR="00E669DD" w:rsidRDefault="00E669DD" w:rsidP="00E669DD">
      <w:pPr>
        <w:autoSpaceDE w:val="0"/>
        <w:autoSpaceDN w:val="0"/>
        <w:adjustRightInd w:val="0"/>
        <w:jc w:val="both"/>
        <w:rPr>
          <w:rFonts w:cs="Calibri"/>
          <w:color w:val="000000"/>
          <w:lang w:val="fr"/>
        </w:rPr>
      </w:pPr>
      <w:r>
        <w:rPr>
          <w:rFonts w:cs="Calibri"/>
          <w:color w:val="000000"/>
          <w:lang w:val="fr"/>
        </w:rPr>
        <w:t>Pour l’étude clinique cette visite peut constituer la visite d’inclusion dans le registre.</w:t>
      </w:r>
    </w:p>
    <w:p w14:paraId="2524EA5C" w14:textId="77777777" w:rsidR="00E669DD" w:rsidRDefault="00E669DD" w:rsidP="00E669DD">
      <w:pPr>
        <w:autoSpaceDE w:val="0"/>
        <w:autoSpaceDN w:val="0"/>
        <w:adjustRightInd w:val="0"/>
        <w:jc w:val="both"/>
        <w:rPr>
          <w:rFonts w:cs="Calibri"/>
          <w:color w:val="000000"/>
          <w:lang w:val="fr"/>
        </w:rPr>
      </w:pPr>
      <w:r>
        <w:rPr>
          <w:rFonts w:cs="Calibri"/>
          <w:color w:val="000000"/>
          <w:lang w:val="fr"/>
        </w:rPr>
        <w:t xml:space="preserve">Il faut alors recueillir quelques données socio-démographiques, d’histoire de la DE et </w:t>
      </w:r>
      <w:r w:rsidRPr="003C1913">
        <w:rPr>
          <w:rFonts w:cs="Calibri"/>
          <w:color w:val="000000"/>
          <w:lang w:val="fr"/>
        </w:rPr>
        <w:t>documenter</w:t>
      </w:r>
      <w:r>
        <w:rPr>
          <w:rFonts w:cs="Calibri"/>
          <w:color w:val="000000"/>
          <w:lang w:val="fr"/>
        </w:rPr>
        <w:t xml:space="preserve"> les traitements antérieurs éventuels. Le questionnaire IIEF permet d’évaluer la sévérité de la DE. Un document est fourni permettant le recueil standardisé de ces informations et leur exploitation ultérieure à visée de recherche.</w:t>
      </w:r>
    </w:p>
    <w:p w14:paraId="67B5CBA9" w14:textId="77777777" w:rsidR="00817F21" w:rsidRDefault="00817F21" w:rsidP="00147BD6">
      <w:pPr>
        <w:ind w:firstLine="0"/>
        <w:jc w:val="both"/>
        <w:rPr>
          <w:rFonts w:cs="Calibri"/>
          <w:color w:val="000000"/>
          <w:lang w:val="fr"/>
        </w:rPr>
      </w:pPr>
    </w:p>
    <w:p w14:paraId="46E7BDB0" w14:textId="77777777" w:rsidR="00E669DD" w:rsidRDefault="00E669DD" w:rsidP="00147BD6">
      <w:pPr>
        <w:ind w:firstLine="0"/>
        <w:jc w:val="both"/>
        <w:rPr>
          <w:rFonts w:cs="DaxOT-Light"/>
          <w:color w:val="000000"/>
          <w:lang w:val="fr-FR" w:bidi="ar-YE"/>
        </w:rPr>
      </w:pPr>
    </w:p>
    <w:p w14:paraId="4238ED78" w14:textId="5A36F7CF" w:rsidR="008F6D60" w:rsidRPr="003C1913" w:rsidRDefault="00147BD6" w:rsidP="00F40AC1">
      <w:pPr>
        <w:jc w:val="both"/>
        <w:rPr>
          <w:rFonts w:cs="DaxOT-Light"/>
          <w:color w:val="FF0000"/>
          <w:lang w:val="fr-FR" w:bidi="ar-YE"/>
        </w:rPr>
      </w:pPr>
      <w:r w:rsidRPr="00D17C8D">
        <w:rPr>
          <w:rFonts w:cs="DaxOT-Light"/>
          <w:b/>
          <w:color w:val="000000"/>
          <w:u w:val="single"/>
          <w:lang w:val="fr-FR" w:bidi="ar-YE"/>
        </w:rPr>
        <w:t>PROTOCOLE</w:t>
      </w:r>
      <w:r w:rsidR="009A4334" w:rsidRPr="00D17C8D">
        <w:rPr>
          <w:rFonts w:cs="DaxOT-Light"/>
          <w:b/>
          <w:color w:val="000000"/>
          <w:u w:val="single"/>
          <w:lang w:val="fr-FR" w:bidi="ar-YE"/>
        </w:rPr>
        <w:t xml:space="preserve"> STANDARD</w:t>
      </w:r>
      <w:r w:rsidRPr="00D17C8D">
        <w:rPr>
          <w:rFonts w:cs="DaxOT-Light"/>
          <w:b/>
          <w:color w:val="000000"/>
          <w:u w:val="single"/>
          <w:lang w:val="fr-FR" w:bidi="ar-YE"/>
        </w:rPr>
        <w:t> </w:t>
      </w:r>
      <w:r>
        <w:rPr>
          <w:rFonts w:cs="DaxOT-Light"/>
          <w:color w:val="000000"/>
          <w:lang w:val="fr-FR" w:bidi="ar-YE"/>
        </w:rPr>
        <w:t>:</w:t>
      </w:r>
      <w:r w:rsidR="003C1913">
        <w:rPr>
          <w:rFonts w:cs="DaxOT-Light"/>
          <w:color w:val="000000"/>
          <w:lang w:val="fr-FR" w:bidi="ar-YE"/>
        </w:rPr>
        <w:t xml:space="preserve"> </w:t>
      </w:r>
    </w:p>
    <w:p w14:paraId="05F07131" w14:textId="1E6E7700" w:rsidR="00147BD6" w:rsidRDefault="00147BD6" w:rsidP="00F40AC1">
      <w:pPr>
        <w:jc w:val="both"/>
        <w:rPr>
          <w:rFonts w:cs="DaxOT-Light"/>
          <w:color w:val="000000"/>
          <w:lang w:val="fr-FR" w:bidi="ar-YE"/>
        </w:rPr>
      </w:pPr>
    </w:p>
    <w:p w14:paraId="74331DF8" w14:textId="395B2CF9" w:rsidR="00147BD6" w:rsidRDefault="00CD5120" w:rsidP="00F40AC1">
      <w:pPr>
        <w:jc w:val="both"/>
        <w:rPr>
          <w:rFonts w:cs="DaxOT-Light"/>
          <w:color w:val="000000"/>
          <w:lang w:val="fr-FR" w:bidi="ar-YE"/>
        </w:rPr>
      </w:pPr>
      <w:r>
        <w:rPr>
          <w:rFonts w:cs="DaxOT-Light"/>
          <w:noProof/>
          <w:color w:val="000000"/>
          <w:lang w:eastAsia="en-GB"/>
        </w:rPr>
        <w:drawing>
          <wp:inline distT="0" distB="0" distL="0" distR="0" wp14:anchorId="0065DCF7" wp14:editId="09229B62">
            <wp:extent cx="5731510" cy="3644580"/>
            <wp:effectExtent l="0" t="0" r="8890" b="0"/>
            <wp:docPr id="174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F1CF" w14:textId="312277E8" w:rsidR="008F6D60" w:rsidRDefault="008F6D60" w:rsidP="00F40AC1">
      <w:pPr>
        <w:jc w:val="both"/>
        <w:rPr>
          <w:rFonts w:cs="DaxOT-Light"/>
          <w:color w:val="000000"/>
          <w:lang w:val="fr-FR" w:bidi="ar-YE"/>
        </w:rPr>
      </w:pPr>
    </w:p>
    <w:p w14:paraId="712FF88E" w14:textId="5D60F513" w:rsidR="001E214F" w:rsidRDefault="001E214F" w:rsidP="00A627A6">
      <w:pPr>
        <w:rPr>
          <w:rFonts w:cs="DaxOT-Light"/>
          <w:color w:val="000000"/>
          <w:lang w:val="fr-FR" w:bidi="ar-YE"/>
        </w:rPr>
      </w:pPr>
    </w:p>
    <w:p w14:paraId="585F4809" w14:textId="32CC28DE" w:rsidR="00090DB9" w:rsidRDefault="00090DB9" w:rsidP="00A627A6">
      <w:pPr>
        <w:rPr>
          <w:rFonts w:cs="DaxOT-Light"/>
          <w:color w:val="000000"/>
          <w:lang w:val="fr-FR" w:bidi="ar-YE"/>
        </w:rPr>
      </w:pPr>
    </w:p>
    <w:p w14:paraId="7EF984DF" w14:textId="4A3D239E" w:rsidR="00CF2A87" w:rsidRPr="00781A86" w:rsidRDefault="0027696A" w:rsidP="00157246">
      <w:pPr>
        <w:ind w:firstLine="227"/>
        <w:rPr>
          <w:color w:val="FF0000"/>
          <w:lang w:val="fr-FR"/>
        </w:rPr>
      </w:pPr>
      <w:r>
        <w:rPr>
          <w:color w:val="FF0000"/>
          <w:lang w:val="fr-FR"/>
        </w:rPr>
        <w:br w:type="page"/>
      </w:r>
      <w:r w:rsidR="00CF2A87" w:rsidRPr="00781A86">
        <w:rPr>
          <w:color w:val="FF0000"/>
          <w:lang w:val="fr-FR"/>
        </w:rPr>
        <w:lastRenderedPageBreak/>
        <w:t xml:space="preserve">Page </w:t>
      </w:r>
      <w:r w:rsidR="00090DB9">
        <w:rPr>
          <w:color w:val="FF0000"/>
          <w:lang w:val="fr-FR"/>
        </w:rPr>
        <w:t>5</w:t>
      </w:r>
    </w:p>
    <w:p w14:paraId="456B6E0D" w14:textId="6BEBC0C4" w:rsidR="00CF2A87" w:rsidRPr="00157246" w:rsidRDefault="00617C49" w:rsidP="00CF2A87">
      <w:pPr>
        <w:ind w:firstLine="0"/>
        <w:rPr>
          <w:rFonts w:cs="DaxOT-Light"/>
          <w:color w:val="000000"/>
          <w:lang w:val="fr-FR" w:bidi="ar-YE"/>
        </w:rPr>
      </w:pPr>
      <w:r>
        <w:rPr>
          <w:rFonts w:cs="DaxOT-Light"/>
          <w:color w:val="000000"/>
          <w:lang w:val="fr-FR" w:bidi="ar-YE"/>
        </w:rPr>
        <w:t>Une e</w:t>
      </w:r>
      <w:r w:rsidR="00A64B18">
        <w:rPr>
          <w:rFonts w:cs="DaxOT-Light"/>
          <w:color w:val="000000"/>
          <w:lang w:val="fr-FR" w:bidi="ar-YE"/>
        </w:rPr>
        <w:t>fficacité cliniquement prouvée</w:t>
      </w:r>
    </w:p>
    <w:p w14:paraId="4569B91F" w14:textId="7C5B6AB7" w:rsidR="00171892" w:rsidRDefault="00171892" w:rsidP="00A627A6">
      <w:pPr>
        <w:rPr>
          <w:rFonts w:cs="DaxOT-Light"/>
          <w:lang w:val="fr-FR" w:bidi="ar-YE"/>
        </w:rPr>
      </w:pPr>
    </w:p>
    <w:p w14:paraId="51292446" w14:textId="77777777" w:rsidR="00817F21" w:rsidRDefault="00817F21" w:rsidP="00817F21">
      <w:pPr>
        <w:autoSpaceDE w:val="0"/>
        <w:autoSpaceDN w:val="0"/>
        <w:adjustRightInd w:val="0"/>
        <w:jc w:val="both"/>
        <w:rPr>
          <w:rFonts w:cs="Calibri"/>
          <w:b/>
          <w:bCs/>
          <w:lang w:val="fr"/>
        </w:rPr>
      </w:pPr>
      <w:r>
        <w:rPr>
          <w:rFonts w:cs="Calibri"/>
          <w:b/>
          <w:bCs/>
          <w:lang w:val="fr"/>
        </w:rPr>
        <w:t>Evaluation lors d’études contrôlées versus placebo</w:t>
      </w:r>
    </w:p>
    <w:p w14:paraId="580C04F9" w14:textId="10C9668F" w:rsidR="00E80113" w:rsidRDefault="00E80113" w:rsidP="00E80113">
      <w:pPr>
        <w:ind w:firstLine="0"/>
        <w:jc w:val="both"/>
        <w:rPr>
          <w:rFonts w:cs="Calibri"/>
          <w:lang w:val="fr"/>
        </w:rPr>
      </w:pPr>
    </w:p>
    <w:p w14:paraId="60279BBF" w14:textId="19704622" w:rsidR="00E80113" w:rsidRDefault="00E80113" w:rsidP="00E80113">
      <w:pPr>
        <w:ind w:firstLine="0"/>
        <w:jc w:val="both"/>
        <w:rPr>
          <w:rFonts w:cs="Calibri"/>
          <w:lang w:val="fr"/>
        </w:rPr>
      </w:pPr>
      <w:r>
        <w:rPr>
          <w:rFonts w:cs="DaxOT-Medium"/>
          <w:b/>
          <w:bCs/>
          <w:caps/>
          <w:noProof/>
          <w:color w:val="00ADEF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9940" wp14:editId="6A9D91DC">
                <wp:simplePos x="0" y="0"/>
                <wp:positionH relativeFrom="column">
                  <wp:posOffset>2057400</wp:posOffset>
                </wp:positionH>
                <wp:positionV relativeFrom="paragraph">
                  <wp:posOffset>155575</wp:posOffset>
                </wp:positionV>
                <wp:extent cx="4114800" cy="11633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6DF6B" w14:textId="77777777" w:rsidR="00B75B13" w:rsidRDefault="00B75B13" w:rsidP="00E80113">
                            <w:pPr>
                              <w:ind w:firstLine="0"/>
                              <w:jc w:val="both"/>
                              <w:rPr>
                                <w:rFonts w:cs="Calibri"/>
                                <w:lang w:val="fr"/>
                              </w:rPr>
                            </w:pPr>
                          </w:p>
                          <w:p w14:paraId="5ED420ED" w14:textId="77777777" w:rsidR="00B75B13" w:rsidRPr="00E80113" w:rsidRDefault="00B75B13" w:rsidP="00E80113">
                            <w:pPr>
                              <w:ind w:firstLine="0"/>
                              <w:jc w:val="both"/>
                              <w:rPr>
                                <w:rFonts w:cs="DaxOT-Light"/>
                                <w:lang w:val="fr-FR" w:bidi="ar-YE"/>
                              </w:rPr>
                            </w:pPr>
                            <w:r w:rsidRPr="00CF374E">
                              <w:rPr>
                                <w:rFonts w:cs="Calibri"/>
                                <w:lang w:val="fr"/>
                              </w:rPr>
                              <w:t>Plusieurs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lang w:val="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val="fr"/>
                              </w:rPr>
                              <w:t>études cliniques émanant de plusieurs centres dans le monde ont montré  l’efficacité de l’ED1000 suivant le protocole décrit ci-dessus.</w:t>
                            </w:r>
                          </w:p>
                          <w:p w14:paraId="0B00105F" w14:textId="77777777" w:rsidR="00B75B13" w:rsidRDefault="00B75B13" w:rsidP="00E8011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lang w:val="fr"/>
                              </w:rPr>
                            </w:pPr>
                            <w:r>
                              <w:rPr>
                                <w:rFonts w:cs="Calibri"/>
                                <w:lang w:val="fr"/>
                              </w:rPr>
                              <w:t>Elles ont été publiées dans la littérature internationale.</w:t>
                            </w:r>
                          </w:p>
                          <w:p w14:paraId="2B5374DA" w14:textId="77777777" w:rsidR="00B75B13" w:rsidRPr="00860B97" w:rsidRDefault="00B75B13" w:rsidP="00E8011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99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pt;margin-top:12.25pt;width:324pt;height:9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" filled="f" stroked="f">
                <v:textbox>
                  <w:txbxContent>
                    <w:p w14:paraId="1506DF6B" w14:textId="77777777" w:rsidR="00B75B13" w:rsidRDefault="00B75B13" w:rsidP="00E80113">
                      <w:pPr>
                        <w:ind w:firstLine="0"/>
                        <w:jc w:val="both"/>
                        <w:rPr>
                          <w:rFonts w:cs="Calibri"/>
                          <w:lang w:val="fr"/>
                        </w:rPr>
                      </w:pPr>
                    </w:p>
                    <w:p w14:paraId="5ED420ED" w14:textId="77777777" w:rsidR="00B75B13" w:rsidRPr="00E80113" w:rsidRDefault="00B75B13" w:rsidP="00E80113">
                      <w:pPr>
                        <w:ind w:firstLine="0"/>
                        <w:jc w:val="both"/>
                        <w:rPr>
                          <w:rFonts w:cs="DaxOT-Light"/>
                          <w:lang w:val="fr-FR" w:bidi="ar-YE"/>
                        </w:rPr>
                      </w:pPr>
                      <w:r w:rsidRPr="00CF374E">
                        <w:rPr>
                          <w:rFonts w:cs="Calibri"/>
                          <w:lang w:val="fr"/>
                        </w:rPr>
                        <w:t>Plusieurs</w:t>
                      </w:r>
                      <w:r>
                        <w:rPr>
                          <w:rFonts w:cs="Calibri"/>
                          <w:b/>
                          <w:bCs/>
                          <w:lang w:val="fr"/>
                        </w:rPr>
                        <w:t xml:space="preserve"> </w:t>
                      </w:r>
                      <w:r>
                        <w:rPr>
                          <w:rFonts w:cs="Calibri"/>
                          <w:lang w:val="fr"/>
                        </w:rPr>
                        <w:t>études cliniques émanant de plusieurs centres dans le monde ont montré  l’efficacité de l’ED1000 suivant le protocole décrit ci-dessus.</w:t>
                      </w:r>
                    </w:p>
                    <w:p w14:paraId="0B00105F" w14:textId="77777777" w:rsidR="00B75B13" w:rsidRDefault="00B75B13" w:rsidP="00E8011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lang w:val="fr"/>
                        </w:rPr>
                      </w:pPr>
                      <w:r>
                        <w:rPr>
                          <w:rFonts w:cs="Calibri"/>
                          <w:lang w:val="fr"/>
                        </w:rPr>
                        <w:t>Elles ont été publiées dans la littérature internationale.</w:t>
                      </w:r>
                    </w:p>
                    <w:p w14:paraId="2B5374DA" w14:textId="77777777" w:rsidR="00B75B13" w:rsidRPr="00860B97" w:rsidRDefault="00B75B13" w:rsidP="00E8011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1466">
        <w:rPr>
          <w:rFonts w:cs="DaxOT-Medium"/>
          <w:b/>
          <w:bCs/>
          <w:caps/>
          <w:noProof/>
          <w:color w:val="00ADEF"/>
          <w:lang w:eastAsia="en-GB"/>
        </w:rPr>
        <w:drawing>
          <wp:inline distT="0" distB="0" distL="0" distR="0" wp14:anchorId="4AC84DD0" wp14:editId="5750A43C">
            <wp:extent cx="1805459" cy="1626919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397" cy="16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B86B" w14:textId="77777777" w:rsidR="00E80113" w:rsidRDefault="00E80113" w:rsidP="00E80113">
      <w:pPr>
        <w:ind w:firstLine="0"/>
        <w:jc w:val="both"/>
        <w:rPr>
          <w:rFonts w:cs="Calibri"/>
          <w:lang w:val="fr"/>
        </w:rPr>
      </w:pPr>
    </w:p>
    <w:p w14:paraId="5FBBB7F5" w14:textId="77777777" w:rsidR="00817F21" w:rsidRDefault="00817F21" w:rsidP="00817F21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4EBC7C37" w14:textId="77777777" w:rsidR="00817F21" w:rsidRPr="00860B97" w:rsidRDefault="00817F21" w:rsidP="00817F2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kern w:val="24"/>
          <w:lang w:val="fr-FR"/>
        </w:rPr>
      </w:pPr>
      <w:r w:rsidRPr="00860B97">
        <w:rPr>
          <w:rFonts w:asciiTheme="minorHAnsi" w:hAnsiTheme="minorHAnsi"/>
          <w:color w:val="000000"/>
          <w:kern w:val="24"/>
          <w:u w:val="single"/>
          <w:lang w:val="fr-FR"/>
        </w:rPr>
        <w:t>Liste partielle des publications</w:t>
      </w:r>
      <w:r w:rsidRPr="00860B97">
        <w:rPr>
          <w:rFonts w:asciiTheme="minorHAnsi" w:hAnsiTheme="minorHAnsi"/>
          <w:color w:val="000000"/>
          <w:kern w:val="24"/>
          <w:lang w:val="fr-FR"/>
        </w:rPr>
        <w:t>:</w:t>
      </w:r>
    </w:p>
    <w:p w14:paraId="5B640C87" w14:textId="7D8ACB2E" w:rsidR="00CD5120" w:rsidRDefault="00CD5120" w:rsidP="00817F21">
      <w:pPr>
        <w:ind w:firstLine="0"/>
        <w:rPr>
          <w:rFonts w:cs="DaxOT-Light"/>
          <w:lang w:val="fr-FR" w:bidi="ar-YE"/>
        </w:rPr>
      </w:pPr>
    </w:p>
    <w:p w14:paraId="28417E5F" w14:textId="3E94A678" w:rsidR="00CD5120" w:rsidRDefault="00CD5120" w:rsidP="00A627A6">
      <w:pPr>
        <w:rPr>
          <w:rFonts w:cs="DaxOT-Light"/>
          <w:lang w:val="fr-FR" w:bidi="ar-YE"/>
        </w:rPr>
      </w:pPr>
      <w:r w:rsidRPr="00BC546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2F7AE" wp14:editId="2E1849EF">
                <wp:simplePos x="0" y="0"/>
                <wp:positionH relativeFrom="margin">
                  <wp:posOffset>-114300</wp:posOffset>
                </wp:positionH>
                <wp:positionV relativeFrom="paragraph">
                  <wp:posOffset>5715</wp:posOffset>
                </wp:positionV>
                <wp:extent cx="6699250" cy="2458085"/>
                <wp:effectExtent l="0" t="0" r="0" b="5715"/>
                <wp:wrapNone/>
                <wp:docPr id="174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245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7E0D" w14:textId="77777777" w:rsidR="00B75B13" w:rsidRPr="00314F29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</w:p>
                          <w:p w14:paraId="544CDDD6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1. Vardi Y, Appel B, Jacob G,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Massarwi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O,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Gruenwald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I. Can low-intensity extracorporeal shockwave therapy improve erectile function? A 6-month follow-up pilot study in patients with organic erectile dysfunction.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European urology. 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2010</w:t>
                            </w:r>
                            <w:proofErr w:type="gram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;58</w:t>
                            </w:r>
                            <w:proofErr w:type="gram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(20451317):243-248.</w:t>
                            </w:r>
                          </w:p>
                          <w:p w14:paraId="23E72CDE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2. Vardi Y, Appel B,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Kilchevsky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A,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Gruenwald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I. Does low intensity extracorporeal shock wave therapy have a physiological effect on erectile function? Short-term results of a randomized, double-blind, sham controlled study.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The Journal of urology. 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May 2012</w:t>
                            </w:r>
                            <w:proofErr w:type="gram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;187</w:t>
                            </w:r>
                            <w:proofErr w:type="gram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(5):1769-1775.</w:t>
                            </w:r>
                          </w:p>
                          <w:p w14:paraId="76B0F71E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3.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Gruenwald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I, Appel B, Vardi Y. Low-intensity extracorporeal shock wave therapy--a novel effective treatment for erectile dysfunction in severe ED patients who respond poorly to PDE5 inhibitor therapy.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The journal of sexual medicine. 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2012</w:t>
                            </w:r>
                            <w:proofErr w:type="gram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;9</w:t>
                            </w:r>
                            <w:proofErr w:type="gram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(22008059):259-264.</w:t>
                            </w:r>
                          </w:p>
                          <w:p w14:paraId="7E053C1F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4.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Gruenwald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I, Appel B,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Kitrey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ND, Vardi Y. Shockwave treatment of erectile dysfunction.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Therapeutic advances in urology. 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Apr 2013</w:t>
                            </w:r>
                            <w:proofErr w:type="gram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;5</w:t>
                            </w:r>
                            <w:proofErr w:type="gram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(2):95-99.</w:t>
                            </w:r>
                          </w:p>
                          <w:p w14:paraId="29E065C7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5.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Srini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VS, Reddy RK, Shultz T, Denes B. Low intensity extracorporeal shockwave therapy for erectile dysfunction: a study in an Indian population.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The Canadian journal of urology. 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Feb 2015</w:t>
                            </w:r>
                            <w:proofErr w:type="gram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;22</w:t>
                            </w:r>
                            <w:proofErr w:type="gram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(1):7614-7622.</w:t>
                            </w:r>
                          </w:p>
                          <w:p w14:paraId="20AD4828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6. Abu-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Ghanem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Y., et al., Penile low-intensity shock wave therapy: a promising novel modality for erectile dysfunction. Korean J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Urol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, 2014. 55(5): p. 295-9</w:t>
                            </w:r>
                            <w:r w:rsidRPr="00CD5120">
                              <w:rPr>
                                <w:rFonts w:asciiTheme="minorHAnsi" w:hAnsiTheme="minorHAnsi" w:cstheme="minorBidi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32B5D73C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7.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Kitrey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N.D., et al.,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Penile low-intensity shockwave treatment is able to shift PDE5i non-responders to responders: A double-blind sham-controlled study.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J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Urol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, 2015.</w:t>
                            </w:r>
                          </w:p>
                          <w:p w14:paraId="050EF530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8.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Hisasue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S., et al., </w:t>
                            </w:r>
                            <w:r w:rsidRPr="00CD5120">
                              <w:rPr>
                                <w:rFonts w:asciiTheme="minorHAnsi" w:hAnsiTheme="minorHAnsi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Impact of aging and comorbidity on the efficacy of low-intensity shock wave therapy for erectile dysfunction.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J </w:t>
                            </w:r>
                            <w:proofErr w:type="spellStart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Urol</w:t>
                            </w:r>
                            <w:proofErr w:type="spellEnd"/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2016. </w:t>
                            </w:r>
                            <w:r w:rsidRPr="00CD5120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23</w:t>
                            </w: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(1): p. 80-4.</w:t>
                            </w:r>
                          </w:p>
                          <w:p w14:paraId="29E0E47E" w14:textId="77777777" w:rsidR="00B75B13" w:rsidRPr="00CD5120" w:rsidRDefault="00B75B13" w:rsidP="00CD512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CD5120">
                              <w:rPr>
                                <w:rFonts w:asciiTheme="minorHAnsi" w:hAnsi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 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2F7AE" id="Rectangle 2" o:spid="_x0000_s1027" style="position:absolute;left:0;text-align:left;margin-left:-9pt;margin-top:.45pt;width:527.5pt;height:1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" filled="f" stroked="f">
                <v:textbox>
                  <w:txbxContent>
                    <w:p w14:paraId="26487E0D" w14:textId="77777777" w:rsidR="00B75B13" w:rsidRPr="00314F29" w:rsidRDefault="00B75B13" w:rsidP="00CD512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</w:p>
                    <w:p w14:paraId="544CDDD6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1. Vardi Y, Appel B, Jacob G,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Massarwi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O,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Gruenwald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I. Can low-intensity extracorporeal shockwave therapy improve erectile function? A 6-month follow-up pilot study in patients with organic erectile dysfunction.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European urology. 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2010</w:t>
                      </w:r>
                      <w:proofErr w:type="gram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;58</w:t>
                      </w:r>
                      <w:proofErr w:type="gram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(20451317):243-248.</w:t>
                      </w:r>
                    </w:p>
                    <w:p w14:paraId="23E72CDE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2. Vardi Y, Appel B,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Kilchevsky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A,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Gruenwald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I. Does low intensity extracorporeal shock wave therapy have a physiological effect on erectile function? Short-term results of a randomized, double-blind, sham controlled study.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The Journal of urology. 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May 2012</w:t>
                      </w:r>
                      <w:proofErr w:type="gram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;187</w:t>
                      </w:r>
                      <w:proofErr w:type="gram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(5):1769-1775.</w:t>
                      </w:r>
                    </w:p>
                    <w:p w14:paraId="76B0F71E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3.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Gruenwald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I, Appel B, Vardi Y. Low-intensity extracorporeal shock wave therapy--a novel effective treatment for erectile dysfunction in severe ED patients who respond poorly to PDE5 inhibitor therapy.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The journal of sexual medicine. 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2012</w:t>
                      </w:r>
                      <w:proofErr w:type="gram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;9</w:t>
                      </w:r>
                      <w:proofErr w:type="gram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(22008059):259-264.</w:t>
                      </w:r>
                    </w:p>
                    <w:p w14:paraId="7E053C1F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4.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Gruenwald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I, Appel B,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Kitrey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ND, Vardi Y. Shockwave treatment of erectile dysfunction.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Therapeutic advances in urology. 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Apr 2013</w:t>
                      </w:r>
                      <w:proofErr w:type="gram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;5</w:t>
                      </w:r>
                      <w:proofErr w:type="gram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(2):95-99.</w:t>
                      </w:r>
                    </w:p>
                    <w:p w14:paraId="29E065C7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5.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Srini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VS, Reddy RK, Shultz T, Denes B. Low intensity extracorporeal shockwave therapy for erectile dysfunction: a study in an Indian population.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The Canadian journal of urology. 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Feb 2015</w:t>
                      </w:r>
                      <w:proofErr w:type="gram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;22</w:t>
                      </w:r>
                      <w:proofErr w:type="gram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(1):7614-7622.</w:t>
                      </w:r>
                    </w:p>
                    <w:p w14:paraId="20AD4828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6. Abu-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Ghanem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Y., et al., Penile low-intensity shock wave therapy: a promising novel modality for erectile dysfunction. Korean J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Urol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, 2014. 55(5): p. 295-9</w:t>
                      </w:r>
                      <w:r w:rsidRPr="00CD5120">
                        <w:rPr>
                          <w:rFonts w:asciiTheme="minorHAnsi" w:hAnsiTheme="minorHAnsi" w:cstheme="minorBidi"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32B5D73C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7.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Kitrey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N.D., et al.,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Penile low-intensity shockwave treatment is able to shift PDE5i non-responders to responders: A double-blind sham-controlled study.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J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Urol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, 2015.</w:t>
                      </w:r>
                    </w:p>
                    <w:p w14:paraId="050EF530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8.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Hisasue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S., et al., </w:t>
                      </w:r>
                      <w:r w:rsidRPr="00CD5120">
                        <w:rPr>
                          <w:rFonts w:asciiTheme="minorHAnsi" w:hAnsiTheme="minorHAnsi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Impact of aging and comorbidity on the efficacy of low-intensity shock wave therapy for erectile dysfunction.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Int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J </w:t>
                      </w:r>
                      <w:proofErr w:type="spellStart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Urol</w:t>
                      </w:r>
                      <w:proofErr w:type="spellEnd"/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2016. </w:t>
                      </w:r>
                      <w:r w:rsidRPr="00CD5120">
                        <w:rPr>
                          <w:rFonts w:asciiTheme="minorHAnsi" w:hAnsiTheme="minorHAns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23</w:t>
                      </w: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(1): p. 80-4.</w:t>
                      </w:r>
                    </w:p>
                    <w:p w14:paraId="29E0E47E" w14:textId="77777777" w:rsidR="00B75B13" w:rsidRPr="00CD5120" w:rsidRDefault="00B75B13" w:rsidP="00CD512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CD5120">
                        <w:rPr>
                          <w:rFonts w:asciiTheme="minorHAnsi" w:hAnsiTheme="minorHAnsi"/>
                          <w:color w:val="000000"/>
                          <w:kern w:val="24"/>
                          <w:sz w:val="16"/>
                          <w:szCs w:val="16"/>
                        </w:rPr>
                        <w:t>. 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99C87E" w14:textId="6ADFF210" w:rsidR="00CD5120" w:rsidRDefault="00CD5120" w:rsidP="00A627A6">
      <w:pPr>
        <w:rPr>
          <w:rFonts w:cs="DaxOT-Light"/>
          <w:lang w:val="fr-FR" w:bidi="ar-YE"/>
        </w:rPr>
      </w:pPr>
    </w:p>
    <w:p w14:paraId="2B81DFD2" w14:textId="77777777" w:rsidR="00CD5120" w:rsidRDefault="00CD5120" w:rsidP="00A627A6">
      <w:pPr>
        <w:rPr>
          <w:rFonts w:cs="DaxOT-Light"/>
          <w:lang w:val="fr-FR" w:bidi="ar-YE"/>
        </w:rPr>
      </w:pPr>
    </w:p>
    <w:p w14:paraId="307437C2" w14:textId="77777777" w:rsidR="00CD5120" w:rsidRDefault="00CD5120" w:rsidP="00A627A6">
      <w:pPr>
        <w:rPr>
          <w:rFonts w:cs="DaxOT-Light"/>
          <w:lang w:val="fr-FR" w:bidi="ar-YE"/>
        </w:rPr>
      </w:pPr>
    </w:p>
    <w:p w14:paraId="758BD75A" w14:textId="77777777" w:rsidR="00CD5120" w:rsidRDefault="00CD5120" w:rsidP="00A627A6">
      <w:pPr>
        <w:rPr>
          <w:rFonts w:cs="DaxOT-Light"/>
          <w:lang w:val="fr-FR" w:bidi="ar-YE"/>
        </w:rPr>
      </w:pPr>
    </w:p>
    <w:p w14:paraId="6DAD7CA3" w14:textId="77777777" w:rsidR="00CD5120" w:rsidRDefault="00CD5120" w:rsidP="00A627A6">
      <w:pPr>
        <w:rPr>
          <w:rFonts w:cs="DaxOT-Light"/>
          <w:lang w:val="fr-FR" w:bidi="ar-YE"/>
        </w:rPr>
      </w:pPr>
    </w:p>
    <w:p w14:paraId="33936497" w14:textId="77777777" w:rsidR="00CD5120" w:rsidRDefault="00CD5120" w:rsidP="00A627A6">
      <w:pPr>
        <w:rPr>
          <w:rFonts w:cs="DaxOT-Light"/>
          <w:lang w:val="fr-FR" w:bidi="ar-YE"/>
        </w:rPr>
      </w:pPr>
    </w:p>
    <w:p w14:paraId="3886B392" w14:textId="77777777" w:rsidR="00CD5120" w:rsidRDefault="00CD5120" w:rsidP="00A627A6">
      <w:pPr>
        <w:rPr>
          <w:rFonts w:cs="DaxOT-Light"/>
          <w:lang w:val="fr-FR" w:bidi="ar-YE"/>
        </w:rPr>
      </w:pPr>
    </w:p>
    <w:p w14:paraId="6920928B" w14:textId="77777777" w:rsidR="00CD5120" w:rsidRDefault="00CD5120" w:rsidP="00314F29">
      <w:pPr>
        <w:ind w:firstLine="0"/>
        <w:rPr>
          <w:rFonts w:cs="DaxOT-Light"/>
          <w:lang w:val="fr-FR" w:bidi="ar-YE"/>
        </w:rPr>
      </w:pPr>
    </w:p>
    <w:p w14:paraId="21A2BB69" w14:textId="77777777" w:rsidR="00CD5120" w:rsidRDefault="00CD5120" w:rsidP="00A627A6">
      <w:pPr>
        <w:rPr>
          <w:rFonts w:cs="DaxOT-Light"/>
          <w:lang w:val="fr-FR" w:bidi="ar-YE"/>
        </w:rPr>
      </w:pPr>
    </w:p>
    <w:p w14:paraId="7AFC679C" w14:textId="77777777" w:rsidR="00CD5120" w:rsidRDefault="00CD5120" w:rsidP="00A627A6">
      <w:pPr>
        <w:rPr>
          <w:rFonts w:cs="DaxOT-Light"/>
          <w:lang w:val="fr-FR" w:bidi="ar-YE"/>
        </w:rPr>
      </w:pPr>
    </w:p>
    <w:p w14:paraId="78F93B34" w14:textId="77777777" w:rsidR="00E80113" w:rsidRDefault="00E80113" w:rsidP="00E80113">
      <w:pPr>
        <w:autoSpaceDE w:val="0"/>
        <w:autoSpaceDN w:val="0"/>
        <w:adjustRightInd w:val="0"/>
        <w:ind w:firstLine="0"/>
        <w:jc w:val="both"/>
        <w:rPr>
          <w:rFonts w:cs="Calibri"/>
          <w:b/>
          <w:bCs/>
          <w:lang w:val="fr-FR"/>
        </w:rPr>
      </w:pPr>
    </w:p>
    <w:p w14:paraId="2E45207C" w14:textId="77777777" w:rsidR="00E80113" w:rsidRDefault="00E80113" w:rsidP="00E80113">
      <w:pPr>
        <w:autoSpaceDE w:val="0"/>
        <w:autoSpaceDN w:val="0"/>
        <w:adjustRightInd w:val="0"/>
        <w:ind w:firstLine="0"/>
        <w:jc w:val="both"/>
        <w:rPr>
          <w:rFonts w:cs="Calibri"/>
          <w:b/>
          <w:bCs/>
          <w:lang w:val="fr-FR"/>
        </w:rPr>
      </w:pPr>
    </w:p>
    <w:p w14:paraId="5CB79908" w14:textId="77777777" w:rsidR="00E80113" w:rsidRDefault="00E80113" w:rsidP="00E80113">
      <w:pPr>
        <w:autoSpaceDE w:val="0"/>
        <w:autoSpaceDN w:val="0"/>
        <w:adjustRightInd w:val="0"/>
        <w:jc w:val="both"/>
        <w:rPr>
          <w:rFonts w:cs="Calibri"/>
          <w:b/>
          <w:bCs/>
          <w:color w:val="00B0F0"/>
          <w:lang w:val="fr"/>
        </w:rPr>
      </w:pPr>
      <w:r>
        <w:rPr>
          <w:rFonts w:cs="Calibri"/>
          <w:b/>
          <w:bCs/>
          <w:color w:val="00B0F0"/>
          <w:lang w:val="fr"/>
        </w:rPr>
        <w:t xml:space="preserve">En 2013 l’Association Européenne d’Urologie (EAU) a recommandé les ondes de choc de faible intensité pour le traitement de la DE. </w:t>
      </w:r>
    </w:p>
    <w:p w14:paraId="0A769D8E" w14:textId="77777777" w:rsidR="00E80113" w:rsidRPr="00781A86" w:rsidRDefault="00E80113" w:rsidP="00E80113">
      <w:pPr>
        <w:ind w:firstLine="0"/>
        <w:jc w:val="both"/>
        <w:rPr>
          <w:rFonts w:cs="DaxOT-Light"/>
          <w:color w:val="FF0000"/>
          <w:lang w:val="fr-FR" w:bidi="ar-YE"/>
        </w:rPr>
      </w:pPr>
    </w:p>
    <w:p w14:paraId="0386F54E" w14:textId="77777777" w:rsidR="00E80113" w:rsidRPr="00E16454" w:rsidRDefault="00E80113" w:rsidP="00E80113">
      <w:pPr>
        <w:ind w:firstLine="0"/>
        <w:jc w:val="both"/>
        <w:rPr>
          <w:rFonts w:cs="DaxOT-Light"/>
          <w:b/>
          <w:bCs/>
          <w:color w:val="00B0F0"/>
          <w:lang w:val="fr-FR"/>
        </w:rPr>
      </w:pPr>
      <w:r w:rsidRPr="005D66DC">
        <w:rPr>
          <w:rFonts w:cs="DaxOT-Light"/>
          <w:b/>
          <w:bCs/>
          <w:color w:val="FF0000"/>
          <w:lang w:val="fr-FR"/>
        </w:rPr>
        <w:t>LOGO GOLD STANDARD</w:t>
      </w:r>
    </w:p>
    <w:p w14:paraId="5C0BFDD2" w14:textId="77777777" w:rsidR="00E80113" w:rsidRDefault="00E80113" w:rsidP="008051E9">
      <w:pPr>
        <w:autoSpaceDE w:val="0"/>
        <w:autoSpaceDN w:val="0"/>
        <w:adjustRightInd w:val="0"/>
        <w:ind w:firstLine="0"/>
        <w:jc w:val="both"/>
        <w:rPr>
          <w:rFonts w:cs="Calibri"/>
          <w:b/>
          <w:bCs/>
          <w:lang w:val="fr-FR"/>
        </w:rPr>
      </w:pPr>
    </w:p>
    <w:p w14:paraId="531553A1" w14:textId="77777777" w:rsidR="00E80113" w:rsidRDefault="00E80113" w:rsidP="00685FDC">
      <w:pPr>
        <w:autoSpaceDE w:val="0"/>
        <w:autoSpaceDN w:val="0"/>
        <w:adjustRightInd w:val="0"/>
        <w:jc w:val="both"/>
        <w:rPr>
          <w:rFonts w:cs="Calibri"/>
          <w:b/>
          <w:bCs/>
          <w:lang w:val="fr-FR"/>
        </w:rPr>
      </w:pPr>
    </w:p>
    <w:p w14:paraId="7436285E" w14:textId="28EB9767" w:rsidR="00E80113" w:rsidRDefault="000609B3" w:rsidP="00685FDC">
      <w:pPr>
        <w:autoSpaceDE w:val="0"/>
        <w:autoSpaceDN w:val="0"/>
        <w:adjustRightInd w:val="0"/>
        <w:jc w:val="both"/>
        <w:rPr>
          <w:rFonts w:cs="Calibri"/>
          <w:b/>
          <w:bCs/>
          <w:lang w:val="fr-FR"/>
        </w:rPr>
      </w:pPr>
      <w:r w:rsidRPr="003C1913">
        <w:rPr>
          <w:rFonts w:cs="Calibri"/>
          <w:b/>
          <w:bCs/>
          <w:lang w:val="fr-FR"/>
        </w:rPr>
        <w:t>Progrès</w:t>
      </w:r>
      <w:r>
        <w:rPr>
          <w:rFonts w:cs="Calibri"/>
          <w:b/>
          <w:bCs/>
          <w:lang w:val="fr-FR"/>
        </w:rPr>
        <w:t xml:space="preserve"> </w:t>
      </w:r>
      <w:r w:rsidR="00E80113">
        <w:rPr>
          <w:rFonts w:cs="Calibri"/>
          <w:b/>
          <w:bCs/>
          <w:lang w:val="fr-FR"/>
        </w:rPr>
        <w:t>des connaissances</w:t>
      </w:r>
    </w:p>
    <w:p w14:paraId="16E58A2E" w14:textId="0F25CEF5" w:rsidR="00685FDC" w:rsidRPr="00860B97" w:rsidRDefault="00685FDC" w:rsidP="00685FDC">
      <w:pPr>
        <w:autoSpaceDE w:val="0"/>
        <w:autoSpaceDN w:val="0"/>
        <w:adjustRightInd w:val="0"/>
        <w:jc w:val="both"/>
        <w:rPr>
          <w:rFonts w:cs="Calibri"/>
          <w:lang w:val="fr-FR"/>
        </w:rPr>
      </w:pPr>
      <w:r w:rsidRPr="00CF374E">
        <w:rPr>
          <w:rFonts w:cs="Calibri"/>
          <w:b/>
          <w:bCs/>
          <w:lang w:val="fr-FR"/>
        </w:rPr>
        <w:t>Novelator</w:t>
      </w:r>
      <w:r w:rsidRPr="00CF374E">
        <w:rPr>
          <w:rFonts w:cs="Calibri"/>
          <w:lang w:val="fr-FR"/>
        </w:rPr>
        <w:t xml:space="preserve"> s’engage</w:t>
      </w:r>
      <w:r w:rsidR="00E80113">
        <w:rPr>
          <w:rFonts w:cs="Calibri"/>
          <w:lang w:val="fr-FR"/>
        </w:rPr>
        <w:t xml:space="preserve"> également</w:t>
      </w:r>
      <w:r w:rsidR="00B3615D">
        <w:rPr>
          <w:rFonts w:cs="Calibri"/>
          <w:lang w:val="fr-FR"/>
        </w:rPr>
        <w:t xml:space="preserve"> </w:t>
      </w:r>
      <w:r w:rsidR="00B3615D" w:rsidRPr="00860B97">
        <w:rPr>
          <w:rFonts w:cs="Calibri"/>
          <w:lang w:val="fr-FR"/>
        </w:rPr>
        <w:t xml:space="preserve">dans </w:t>
      </w:r>
      <w:r w:rsidRPr="00860B97">
        <w:rPr>
          <w:rFonts w:cs="Calibri"/>
          <w:lang w:val="fr-FR"/>
        </w:rPr>
        <w:t xml:space="preserve">le </w:t>
      </w:r>
      <w:r w:rsidRPr="00CF374E">
        <w:rPr>
          <w:rFonts w:cs="Calibri"/>
          <w:lang w:val="fr-FR"/>
        </w:rPr>
        <w:t xml:space="preserve">développement des connaissances sur </w:t>
      </w:r>
      <w:r w:rsidRPr="00860B97">
        <w:rPr>
          <w:rFonts w:cs="Calibri"/>
          <w:lang w:val="fr-FR"/>
        </w:rPr>
        <w:t xml:space="preserve">le </w:t>
      </w:r>
      <w:r w:rsidRPr="00CF374E">
        <w:rPr>
          <w:rFonts w:cs="Calibri"/>
          <w:lang w:val="fr-FR"/>
        </w:rPr>
        <w:t>traitement</w:t>
      </w:r>
      <w:r w:rsidRPr="00860B97">
        <w:rPr>
          <w:rFonts w:cs="Calibri"/>
          <w:lang w:val="fr-FR"/>
        </w:rPr>
        <w:t xml:space="preserve"> de la DE par l’ED1000</w:t>
      </w:r>
    </w:p>
    <w:p w14:paraId="7EE8E620" w14:textId="77777777" w:rsidR="001B3B48" w:rsidRDefault="001B3B48" w:rsidP="00685FDC">
      <w:pPr>
        <w:autoSpaceDE w:val="0"/>
        <w:autoSpaceDN w:val="0"/>
        <w:adjustRightInd w:val="0"/>
        <w:jc w:val="both"/>
        <w:rPr>
          <w:rFonts w:cs="Calibri"/>
          <w:lang w:val="fr-FR"/>
        </w:rPr>
      </w:pPr>
    </w:p>
    <w:p w14:paraId="42EE7D50" w14:textId="711C0A8E" w:rsidR="00685FDC" w:rsidRDefault="001B3B48" w:rsidP="008051E9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>
        <w:rPr>
          <w:rFonts w:cs="Calibri"/>
          <w:lang w:val="fr"/>
        </w:rPr>
        <w:t>Avec l’accord du patient et la participation des prescripteurs, nous souhaitons collecter les données recueillies lors des visites auprès du prescripteur (visite d’inclusion, fin du traitement et 6 mois plus tard) pour construire un registre dont les données seront étudiées par un groupe d’experts. A terme, cette initiative doit notamment personnaliser le protocole selon les facteurs de risque des patients et la sévérité de la DE.</w:t>
      </w:r>
    </w:p>
    <w:p w14:paraId="3765FC16" w14:textId="77777777" w:rsidR="008051E9" w:rsidRDefault="008051E9" w:rsidP="008051E9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2D00E2B0" w14:textId="320D9CB9" w:rsidR="00A64B18" w:rsidRPr="00E80113" w:rsidRDefault="00685FDC" w:rsidP="00E80113">
      <w:pPr>
        <w:autoSpaceDE w:val="0"/>
        <w:autoSpaceDN w:val="0"/>
        <w:adjustRightInd w:val="0"/>
        <w:jc w:val="both"/>
        <w:rPr>
          <w:rFonts w:cs="Calibri"/>
          <w:b/>
          <w:bCs/>
          <w:lang w:val="fr"/>
        </w:rPr>
      </w:pPr>
      <w:r>
        <w:rPr>
          <w:rFonts w:cs="Calibri"/>
          <w:b/>
          <w:bCs/>
          <w:lang w:val="fr"/>
        </w:rPr>
        <w:t xml:space="preserve">Nous vous invitons à participer à cette étude dont les objectifs médicaux et scientifiques doivent contribuer à l’optimisation de la prise en charge de la DE  (toutes les informations </w:t>
      </w:r>
      <w:hyperlink r:id="rId10" w:history="1">
        <w:r>
          <w:rPr>
            <w:rFonts w:cs="Calibri"/>
            <w:b/>
            <w:bCs/>
            <w:color w:val="0000FF"/>
            <w:u w:val="single"/>
            <w:lang w:val="fr"/>
          </w:rPr>
          <w:t>info@novelator.com</w:t>
        </w:r>
      </w:hyperlink>
      <w:r>
        <w:rPr>
          <w:rFonts w:cs="Calibri"/>
          <w:b/>
          <w:bCs/>
          <w:lang w:val="fr"/>
        </w:rPr>
        <w:t xml:space="preserve">) </w:t>
      </w:r>
    </w:p>
    <w:p w14:paraId="0488448E" w14:textId="492DC2A2" w:rsidR="00553D43" w:rsidRPr="001E214F" w:rsidRDefault="00314F29" w:rsidP="0089229C">
      <w:pPr>
        <w:pStyle w:val="BasicParagraph"/>
        <w:suppressAutoHyphens/>
        <w:bidi w:val="0"/>
        <w:spacing w:before="160"/>
        <w:rPr>
          <w:rFonts w:asciiTheme="minorHAnsi" w:hAnsiTheme="minorHAnsi" w:cs="DaxOT-Medium"/>
          <w:b/>
          <w:bCs/>
          <w:caps/>
          <w:color w:val="00ADEF"/>
          <w:lang w:val="fr-FR"/>
        </w:rPr>
      </w:pPr>
      <w:r>
        <w:rPr>
          <w:rFonts w:asciiTheme="minorHAnsi" w:hAnsiTheme="minorHAnsi" w:cs="DaxOT-Light"/>
          <w:color w:val="FF0000"/>
          <w:sz w:val="22"/>
          <w:szCs w:val="22"/>
          <w:lang w:val="fr-FR"/>
        </w:rPr>
        <w:lastRenderedPageBreak/>
        <w:t>Page 6</w:t>
      </w:r>
    </w:p>
    <w:p w14:paraId="30F06499" w14:textId="77777777" w:rsidR="00952FCB" w:rsidRDefault="00952FCB" w:rsidP="000A0B58">
      <w:pPr>
        <w:rPr>
          <w:lang w:val="fr-FR"/>
        </w:rPr>
      </w:pPr>
    </w:p>
    <w:p w14:paraId="0668848D" w14:textId="270068A3" w:rsidR="00CD32D3" w:rsidRDefault="00CD32D3" w:rsidP="000A0B58">
      <w:pPr>
        <w:rPr>
          <w:lang w:val="fr-FR"/>
        </w:rPr>
      </w:pPr>
      <w:r>
        <w:rPr>
          <w:lang w:val="fr-FR"/>
        </w:rPr>
        <w:t>En résumé,</w:t>
      </w:r>
    </w:p>
    <w:p w14:paraId="72B1B883" w14:textId="77777777" w:rsidR="00CD32D3" w:rsidRDefault="00CD32D3" w:rsidP="000A0B58">
      <w:pPr>
        <w:rPr>
          <w:lang w:val="fr-FR"/>
        </w:rPr>
      </w:pPr>
    </w:p>
    <w:p w14:paraId="1AF19140" w14:textId="77777777" w:rsidR="00CD32D3" w:rsidRDefault="00CD32D3" w:rsidP="00CD32D3">
      <w:pPr>
        <w:autoSpaceDE w:val="0"/>
        <w:autoSpaceDN w:val="0"/>
        <w:adjustRightInd w:val="0"/>
        <w:rPr>
          <w:rFonts w:cs="Calibri"/>
          <w:lang w:val="fr"/>
        </w:rPr>
      </w:pPr>
      <w:r>
        <w:rPr>
          <w:rFonts w:cs="Calibri"/>
          <w:lang w:val="fr"/>
        </w:rPr>
        <w:t xml:space="preserve">Le traitement de la dysfonction érectile par ondes de choc de faible intensité </w:t>
      </w:r>
    </w:p>
    <w:p w14:paraId="405DFA46" w14:textId="77777777" w:rsidR="00CD32D3" w:rsidRDefault="00CD32D3" w:rsidP="00CD32D3">
      <w:pPr>
        <w:autoSpaceDE w:val="0"/>
        <w:autoSpaceDN w:val="0"/>
        <w:adjustRightInd w:val="0"/>
        <w:rPr>
          <w:rFonts w:cs="Calibri"/>
          <w:sz w:val="10"/>
          <w:szCs w:val="10"/>
          <w:lang w:val="fr"/>
        </w:rPr>
      </w:pPr>
    </w:p>
    <w:p w14:paraId="705727D8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Est indiqué pour les patients dont la DE est d’origine cardio-vasculaire et / ou diabétique</w:t>
      </w:r>
    </w:p>
    <w:p w14:paraId="5AA07032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 xml:space="preserve">Agit sur la cause de la DE et non sur les symptômes </w:t>
      </w:r>
    </w:p>
    <w:p w14:paraId="57FD0933" w14:textId="4C5B53A2" w:rsidR="00CD32D3" w:rsidRDefault="00A25BDA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Réprésente</w:t>
      </w:r>
      <w:r w:rsidR="00CD32D3">
        <w:rPr>
          <w:rFonts w:cs="Calibri"/>
          <w:lang w:val="fr"/>
        </w:rPr>
        <w:t xml:space="preserve"> ainsi un possible traitement </w:t>
      </w:r>
      <w:r w:rsidR="00CD32D3" w:rsidRPr="003C1913">
        <w:rPr>
          <w:rFonts w:cs="Calibri"/>
          <w:b/>
          <w:lang w:val="fr"/>
        </w:rPr>
        <w:t>curatif plutôt que symptomatique</w:t>
      </w:r>
      <w:r w:rsidR="008051E9">
        <w:rPr>
          <w:rFonts w:cs="Calibri"/>
          <w:b/>
          <w:lang w:val="fr"/>
        </w:rPr>
        <w:t xml:space="preserve">  </w:t>
      </w:r>
    </w:p>
    <w:p w14:paraId="2156DDF8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A demontré une efficacité comparable aux IPDE5</w:t>
      </w:r>
    </w:p>
    <w:p w14:paraId="1C8E30E9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Est non invasif, indolore et sans effet secondaire</w:t>
      </w:r>
    </w:p>
    <w:p w14:paraId="15F72EDE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 xml:space="preserve">Est responsable  d’un effet persistant au delà d’un an selon les études publiées </w:t>
      </w:r>
    </w:p>
    <w:p w14:paraId="46CDB46B" w14:textId="77777777" w:rsidR="00CD32D3" w:rsidRDefault="00CD32D3" w:rsidP="00CD32D3">
      <w:pPr>
        <w:autoSpaceDE w:val="0"/>
        <w:autoSpaceDN w:val="0"/>
        <w:adjustRightInd w:val="0"/>
        <w:ind w:left="530"/>
        <w:rPr>
          <w:rFonts w:cs="Calibri"/>
          <w:lang w:val="fr"/>
        </w:rPr>
      </w:pPr>
    </w:p>
    <w:p w14:paraId="5C8F486F" w14:textId="77777777" w:rsidR="00CD32D3" w:rsidRDefault="00CD32D3" w:rsidP="00CD32D3">
      <w:pPr>
        <w:autoSpaceDE w:val="0"/>
        <w:autoSpaceDN w:val="0"/>
        <w:adjustRightInd w:val="0"/>
        <w:ind w:left="530"/>
        <w:rPr>
          <w:rFonts w:cs="Calibri"/>
          <w:lang w:val="fr"/>
        </w:rPr>
      </w:pPr>
    </w:p>
    <w:p w14:paraId="7FDAA2D0" w14:textId="66B60BE7" w:rsidR="00CD32D3" w:rsidRDefault="00ED3F73" w:rsidP="00CD32D3">
      <w:pPr>
        <w:autoSpaceDE w:val="0"/>
        <w:autoSpaceDN w:val="0"/>
        <w:adjustRightInd w:val="0"/>
        <w:ind w:left="170"/>
        <w:rPr>
          <w:rFonts w:cs="Calibri"/>
          <w:lang w:val="fr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6DBE7" wp14:editId="687E5A1C">
                <wp:simplePos x="0" y="0"/>
                <wp:positionH relativeFrom="column">
                  <wp:posOffset>4114800</wp:posOffset>
                </wp:positionH>
                <wp:positionV relativeFrom="paragraph">
                  <wp:posOffset>161290</wp:posOffset>
                </wp:positionV>
                <wp:extent cx="16002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1B717" w14:textId="2C4EBB6A" w:rsidR="00B75B13" w:rsidRDefault="00B75B13">
                            <w:r w:rsidRPr="0013760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789AF0" wp14:editId="24DCC354">
                                  <wp:extent cx="1174898" cy="1166785"/>
                                  <wp:effectExtent l="0" t="0" r="0" b="1905"/>
                                  <wp:docPr id="17468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686" cy="1167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DBE7" id="Text Box 2" o:spid="_x0000_s1028" type="#_x0000_t202" style="position:absolute;left:0;text-align:left;margin-left:324pt;margin-top:12.7pt;width:12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" filled="f" stroked="f">
                <v:textbox>
                  <w:txbxContent>
                    <w:p w14:paraId="0211B717" w14:textId="2C4EBB6A" w:rsidR="00B75B13" w:rsidRDefault="00B75B13">
                      <w:r w:rsidRPr="0013760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789AF0" wp14:editId="24DCC354">
                            <wp:extent cx="1174898" cy="1166785"/>
                            <wp:effectExtent l="0" t="0" r="0" b="1905"/>
                            <wp:docPr id="17468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686" cy="1167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2D3">
        <w:rPr>
          <w:rFonts w:cs="Calibri"/>
          <w:lang w:val="fr"/>
        </w:rPr>
        <w:t>Notre solution l’ED1000</w:t>
      </w:r>
    </w:p>
    <w:p w14:paraId="01A4F343" w14:textId="77777777" w:rsidR="00CD32D3" w:rsidRDefault="00CD32D3" w:rsidP="00CD32D3">
      <w:pPr>
        <w:autoSpaceDE w:val="0"/>
        <w:autoSpaceDN w:val="0"/>
        <w:adjustRightInd w:val="0"/>
        <w:ind w:left="170"/>
        <w:rPr>
          <w:rFonts w:cs="Calibri"/>
          <w:sz w:val="10"/>
          <w:szCs w:val="10"/>
          <w:lang w:val="fr"/>
        </w:rPr>
      </w:pPr>
    </w:p>
    <w:p w14:paraId="301501D2" w14:textId="6F13D3ED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Est une technologie brevetée, exclusive et innovante</w:t>
      </w:r>
    </w:p>
    <w:p w14:paraId="30F39CC6" w14:textId="1D7D13FC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A fait l’objet d’études cliniques contrôlées reconnues par la communauté médicale internationale</w:t>
      </w:r>
    </w:p>
    <w:p w14:paraId="0CD221DA" w14:textId="638FA040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Est déjà utilisée dans plus de 30 pays à travers le monde</w:t>
      </w:r>
    </w:p>
    <w:p w14:paraId="74694FB8" w14:textId="41E46271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A déjà traité avec succès plus de 60 000 patients</w:t>
      </w:r>
    </w:p>
    <w:p w14:paraId="07242BCA" w14:textId="77777777" w:rsidR="00CD32D3" w:rsidRDefault="00CD32D3" w:rsidP="00CD32D3">
      <w:pPr>
        <w:numPr>
          <w:ilvl w:val="0"/>
          <w:numId w:val="13"/>
        </w:numPr>
        <w:autoSpaceDE w:val="0"/>
        <w:autoSpaceDN w:val="0"/>
        <w:adjustRightInd w:val="0"/>
        <w:ind w:left="530" w:hanging="360"/>
        <w:rPr>
          <w:rFonts w:cs="Calibri"/>
          <w:lang w:val="fr"/>
        </w:rPr>
      </w:pPr>
      <w:r>
        <w:rPr>
          <w:rFonts w:cs="Calibri"/>
          <w:lang w:val="fr"/>
        </w:rPr>
        <w:t>Sera disponible en France dès Juin 2016</w:t>
      </w:r>
    </w:p>
    <w:p w14:paraId="3C96BD6D" w14:textId="77777777" w:rsidR="00CD32D3" w:rsidRDefault="00CD32D3" w:rsidP="00ED3F73">
      <w:pPr>
        <w:autoSpaceDE w:val="0"/>
        <w:autoSpaceDN w:val="0"/>
        <w:adjustRightInd w:val="0"/>
        <w:ind w:firstLine="0"/>
        <w:rPr>
          <w:rFonts w:cs="Calibri"/>
          <w:lang w:val="fr"/>
        </w:rPr>
      </w:pPr>
    </w:p>
    <w:p w14:paraId="7DEDC999" w14:textId="77777777" w:rsidR="00CD32D3" w:rsidRDefault="00CD32D3" w:rsidP="00CD32D3">
      <w:pPr>
        <w:autoSpaceDE w:val="0"/>
        <w:autoSpaceDN w:val="0"/>
        <w:adjustRightInd w:val="0"/>
        <w:rPr>
          <w:rFonts w:cs="Calibri"/>
          <w:lang w:val="fr"/>
        </w:rPr>
      </w:pPr>
    </w:p>
    <w:p w14:paraId="265BEBF8" w14:textId="77777777" w:rsidR="00CD32D3" w:rsidRDefault="00CD32D3" w:rsidP="00CD32D3">
      <w:pPr>
        <w:autoSpaceDE w:val="0"/>
        <w:autoSpaceDN w:val="0"/>
        <w:adjustRightInd w:val="0"/>
        <w:spacing w:before="100" w:after="100"/>
        <w:rPr>
          <w:rFonts w:cs="Calibri"/>
          <w:b/>
          <w:bCs/>
          <w:lang w:val="fr"/>
        </w:rPr>
      </w:pPr>
      <w:r>
        <w:rPr>
          <w:rFonts w:cs="Calibri"/>
          <w:b/>
          <w:bCs/>
          <w:lang w:val="fr"/>
        </w:rPr>
        <w:t xml:space="preserve">Qui sommes-nous? </w:t>
      </w:r>
    </w:p>
    <w:p w14:paraId="3C352471" w14:textId="77777777" w:rsidR="00FD03B7" w:rsidRDefault="00FD03B7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40C6C1A3" w14:textId="4358E212" w:rsidR="001014E5" w:rsidRPr="00E96C6E" w:rsidRDefault="00FD03B7" w:rsidP="00F037F4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u w:val="single"/>
          <w:lang w:val="fr"/>
        </w:rPr>
        <w:t>NOTRE MISSION </w:t>
      </w:r>
      <w:r w:rsidRPr="00E96C6E">
        <w:rPr>
          <w:rFonts w:cs="Calibri"/>
          <w:lang w:val="fr"/>
        </w:rPr>
        <w:t>:</w:t>
      </w:r>
    </w:p>
    <w:p w14:paraId="3797BAAE" w14:textId="77EBF582" w:rsidR="001014E5" w:rsidRPr="00E96C6E" w:rsidRDefault="00920E72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>Notre mission est de proposer</w:t>
      </w:r>
      <w:r w:rsidR="001014E5" w:rsidRPr="00E96C6E">
        <w:rPr>
          <w:rFonts w:cs="Calibri"/>
          <w:lang w:val="fr"/>
        </w:rPr>
        <w:t xml:space="preserve"> un traitement de la dysfonction érectile par ondes de choc qui soit </w:t>
      </w:r>
      <w:r w:rsidR="00CB675D" w:rsidRPr="00E96C6E">
        <w:rPr>
          <w:rFonts w:cs="Calibri"/>
          <w:lang w:val="fr"/>
        </w:rPr>
        <w:t xml:space="preserve"> </w:t>
      </w:r>
      <w:r w:rsidR="00CB675D" w:rsidRPr="00E96C6E">
        <w:rPr>
          <w:rFonts w:cs="Calibri"/>
          <w:b/>
          <w:highlight w:val="yellow"/>
          <w:lang w:val="fr"/>
        </w:rPr>
        <w:t>durable</w:t>
      </w:r>
      <w:r w:rsidR="00CB675D" w:rsidRPr="00E96C6E">
        <w:rPr>
          <w:rFonts w:cs="Calibri"/>
          <w:lang w:val="fr"/>
        </w:rPr>
        <w:t xml:space="preserve"> </w:t>
      </w:r>
      <w:r w:rsidR="00E96C6E" w:rsidRPr="00E96C6E">
        <w:rPr>
          <w:rFonts w:cs="Calibri"/>
          <w:b/>
          <w:color w:val="FF0000"/>
          <w:lang w:val="fr"/>
        </w:rPr>
        <w:t>(in bold please)</w:t>
      </w:r>
      <w:r w:rsidR="00CB675D" w:rsidRPr="00E96C6E">
        <w:rPr>
          <w:rFonts w:cs="Calibri"/>
          <w:lang w:val="fr"/>
        </w:rPr>
        <w:t xml:space="preserve">et </w:t>
      </w:r>
      <w:r w:rsidR="001014E5" w:rsidRPr="00E96C6E">
        <w:rPr>
          <w:rFonts w:cs="Calibri"/>
          <w:lang w:val="fr"/>
        </w:rPr>
        <w:t>le mieux adapté à chacun.</w:t>
      </w:r>
    </w:p>
    <w:p w14:paraId="2B55A895" w14:textId="77777777" w:rsidR="006F6C0D" w:rsidRPr="00E96C6E" w:rsidRDefault="006F6C0D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461F453D" w14:textId="77777777" w:rsidR="0057512A" w:rsidRPr="00E96C6E" w:rsidRDefault="0057512A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38B0173E" w14:textId="4FAEACA8" w:rsidR="0057512A" w:rsidRPr="00E96C6E" w:rsidRDefault="00F61EC2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u w:val="single"/>
          <w:lang w:val="fr"/>
        </w:rPr>
        <w:t>NOS MOYENS</w:t>
      </w:r>
      <w:r w:rsidR="0057512A" w:rsidRPr="00E96C6E">
        <w:rPr>
          <w:rFonts w:cs="Calibri"/>
          <w:u w:val="single"/>
          <w:lang w:val="fr"/>
        </w:rPr>
        <w:t> </w:t>
      </w:r>
      <w:r w:rsidR="0057512A" w:rsidRPr="00E96C6E">
        <w:rPr>
          <w:rFonts w:cs="Calibri"/>
          <w:lang w:val="fr"/>
        </w:rPr>
        <w:t>:</w:t>
      </w:r>
    </w:p>
    <w:p w14:paraId="16F407B1" w14:textId="1FFEDDB7" w:rsidR="006A5664" w:rsidRPr="00E96C6E" w:rsidRDefault="0035714D" w:rsidP="0035714D">
      <w:pPr>
        <w:autoSpaceDE w:val="0"/>
        <w:autoSpaceDN w:val="0"/>
        <w:adjustRightInd w:val="0"/>
        <w:ind w:firstLine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 xml:space="preserve">   </w:t>
      </w:r>
      <w:r w:rsidR="006A5664" w:rsidRPr="00E96C6E">
        <w:rPr>
          <w:rFonts w:cs="Calibri"/>
          <w:lang w:val="fr"/>
        </w:rPr>
        <w:t xml:space="preserve">Investir </w:t>
      </w:r>
      <w:r w:rsidR="004C226C" w:rsidRPr="00E96C6E">
        <w:rPr>
          <w:rFonts w:cs="Calibri"/>
          <w:lang w:val="fr"/>
        </w:rPr>
        <w:t>dans l’enrichissement des connaissances scientifiques sur la DE, en</w:t>
      </w:r>
    </w:p>
    <w:p w14:paraId="203B96D3" w14:textId="21513C16" w:rsidR="0035714D" w:rsidRPr="00E96C6E" w:rsidRDefault="004C226C" w:rsidP="0035714D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 xml:space="preserve">Conduisant </w:t>
      </w:r>
      <w:r w:rsidR="00CA5E95" w:rsidRPr="00E96C6E">
        <w:rPr>
          <w:rFonts w:cs="Calibri"/>
          <w:lang w:val="fr"/>
        </w:rPr>
        <w:t xml:space="preserve">des </w:t>
      </w:r>
      <w:r w:rsidR="00F7290F" w:rsidRPr="00E96C6E">
        <w:rPr>
          <w:rFonts w:cs="Calibri"/>
          <w:lang w:val="fr"/>
        </w:rPr>
        <w:t>études</w:t>
      </w:r>
      <w:r w:rsidR="004C39BF" w:rsidRPr="00E96C6E">
        <w:rPr>
          <w:rFonts w:cs="Calibri"/>
          <w:lang w:val="fr"/>
        </w:rPr>
        <w:t xml:space="preserve"> cliniques,</w:t>
      </w:r>
    </w:p>
    <w:p w14:paraId="47ED83E8" w14:textId="2DB835B7" w:rsidR="00F7290F" w:rsidRPr="00E96C6E" w:rsidRDefault="004C226C" w:rsidP="003C191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>Impliquant</w:t>
      </w:r>
      <w:r w:rsidR="00F40068" w:rsidRPr="00E96C6E">
        <w:rPr>
          <w:rFonts w:cs="Calibri"/>
          <w:lang w:val="fr"/>
        </w:rPr>
        <w:t xml:space="preserve"> </w:t>
      </w:r>
      <w:r w:rsidR="00F7290F" w:rsidRPr="00E96C6E">
        <w:rPr>
          <w:rFonts w:cs="Calibri"/>
          <w:lang w:val="fr"/>
        </w:rPr>
        <w:t xml:space="preserve">les meilleurs spécialistes </w:t>
      </w:r>
      <w:r w:rsidR="00F40068" w:rsidRPr="00E96C6E">
        <w:rPr>
          <w:rFonts w:cs="Calibri"/>
          <w:lang w:val="fr"/>
        </w:rPr>
        <w:t xml:space="preserve">afin </w:t>
      </w:r>
      <w:r w:rsidR="004B5E4C" w:rsidRPr="00E96C6E">
        <w:rPr>
          <w:rFonts w:cs="Calibri"/>
          <w:lang w:val="fr"/>
        </w:rPr>
        <w:t>d’adapter</w:t>
      </w:r>
      <w:r w:rsidR="00087DFB" w:rsidRPr="00E96C6E">
        <w:rPr>
          <w:rFonts w:cs="Calibri"/>
          <w:lang w:val="fr"/>
        </w:rPr>
        <w:t xml:space="preserve"> </w:t>
      </w:r>
      <w:r w:rsidR="004B5E4C" w:rsidRPr="00E96C6E">
        <w:rPr>
          <w:rFonts w:cs="Calibri"/>
          <w:lang w:val="fr"/>
        </w:rPr>
        <w:t>un protocle personalisé</w:t>
      </w:r>
      <w:r w:rsidR="00A53358" w:rsidRPr="00E96C6E">
        <w:rPr>
          <w:rFonts w:cs="Calibri"/>
          <w:lang w:val="fr"/>
        </w:rPr>
        <w:t xml:space="preserve"> aux patients</w:t>
      </w:r>
      <w:r w:rsidR="003B1D25" w:rsidRPr="00E96C6E">
        <w:rPr>
          <w:rFonts w:cs="Calibri"/>
          <w:lang w:val="fr"/>
        </w:rPr>
        <w:t>.</w:t>
      </w:r>
    </w:p>
    <w:p w14:paraId="3CBC64B7" w14:textId="77777777" w:rsidR="00F40068" w:rsidRPr="00E96C6E" w:rsidRDefault="00F40068" w:rsidP="00F40068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2AD7C441" w14:textId="2CF2B483" w:rsidR="006A5664" w:rsidRPr="00E96C6E" w:rsidRDefault="006A5664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 xml:space="preserve">Déployer </w:t>
      </w:r>
      <w:r w:rsidR="00A53358" w:rsidRPr="00E96C6E">
        <w:rPr>
          <w:rFonts w:cs="Calibri"/>
          <w:lang w:val="fr"/>
        </w:rPr>
        <w:t>l’</w:t>
      </w:r>
      <w:r w:rsidR="001E5C5A" w:rsidRPr="00E96C6E">
        <w:rPr>
          <w:rFonts w:cs="Calibri"/>
          <w:lang w:val="fr"/>
        </w:rPr>
        <w:t>accès au soin, en</w:t>
      </w:r>
    </w:p>
    <w:p w14:paraId="0D58CB8D" w14:textId="029A5736" w:rsidR="004D0BEC" w:rsidRPr="00E96C6E" w:rsidRDefault="004D0BEC" w:rsidP="004D0BE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>Fédérant des médecins mutli-disciplinaires qui sont confrontés au phénomène croissant de la DE</w:t>
      </w:r>
      <w:r w:rsidR="003B1D25" w:rsidRPr="00E96C6E">
        <w:rPr>
          <w:rFonts w:cs="Calibri"/>
          <w:lang w:val="fr"/>
        </w:rPr>
        <w:t>,</w:t>
      </w:r>
    </w:p>
    <w:p w14:paraId="4276D90E" w14:textId="761075C0" w:rsidR="004D0BEC" w:rsidRPr="00E96C6E" w:rsidRDefault="004D0BEC" w:rsidP="00F7290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lang w:val="fr"/>
        </w:rPr>
      </w:pPr>
      <w:r w:rsidRPr="00E96C6E">
        <w:rPr>
          <w:rFonts w:cs="Calibri"/>
          <w:lang w:val="fr"/>
        </w:rPr>
        <w:t>Développant une présence nationale des centres de traitement</w:t>
      </w:r>
      <w:r w:rsidR="003B1D25" w:rsidRPr="00E96C6E">
        <w:rPr>
          <w:rFonts w:cs="Calibri"/>
          <w:lang w:val="fr"/>
        </w:rPr>
        <w:t>.</w:t>
      </w:r>
    </w:p>
    <w:p w14:paraId="2F874287" w14:textId="77777777" w:rsidR="00DC338D" w:rsidRPr="008B287A" w:rsidRDefault="00DC338D" w:rsidP="00CD32D3">
      <w:pPr>
        <w:autoSpaceDE w:val="0"/>
        <w:autoSpaceDN w:val="0"/>
        <w:adjustRightInd w:val="0"/>
        <w:jc w:val="both"/>
        <w:rPr>
          <w:rFonts w:cs="Calibri"/>
          <w:highlight w:val="yellow"/>
          <w:lang w:val="fr"/>
        </w:rPr>
      </w:pPr>
    </w:p>
    <w:p w14:paraId="43E5A9C0" w14:textId="77777777" w:rsidR="00F037F4" w:rsidRPr="008B287A" w:rsidRDefault="00F037F4" w:rsidP="00CD32D3">
      <w:pPr>
        <w:autoSpaceDE w:val="0"/>
        <w:autoSpaceDN w:val="0"/>
        <w:adjustRightInd w:val="0"/>
        <w:jc w:val="both"/>
        <w:rPr>
          <w:rFonts w:cs="Calibri"/>
          <w:highlight w:val="yellow"/>
          <w:lang w:val="fr"/>
        </w:rPr>
      </w:pPr>
    </w:p>
    <w:p w14:paraId="6EE9273C" w14:textId="7E6A2D45" w:rsidR="00FD03B7" w:rsidRDefault="000E409A" w:rsidP="002250E2">
      <w:pPr>
        <w:autoSpaceDE w:val="0"/>
        <w:autoSpaceDN w:val="0"/>
        <w:adjustRightInd w:val="0"/>
        <w:jc w:val="center"/>
        <w:rPr>
          <w:rFonts w:cs="Calibri"/>
          <w:lang w:val="fr"/>
        </w:rPr>
      </w:pPr>
      <w:r w:rsidRPr="008B287A">
        <w:rPr>
          <w:rFonts w:cs="Calibri"/>
          <w:highlight w:val="yellow"/>
          <w:lang w:val="fr"/>
        </w:rPr>
        <w:t xml:space="preserve">INNOVER, DEVELOPPER, </w:t>
      </w:r>
      <w:r w:rsidR="00920E72" w:rsidRPr="008B287A">
        <w:rPr>
          <w:rFonts w:cs="Calibri"/>
          <w:highlight w:val="yellow"/>
          <w:lang w:val="fr"/>
        </w:rPr>
        <w:t>REVELER, PARTAGER,</w:t>
      </w:r>
      <w:r w:rsidR="0059710C" w:rsidRPr="008B287A">
        <w:rPr>
          <w:rFonts w:cs="Calibri"/>
          <w:highlight w:val="yellow"/>
          <w:lang w:val="fr"/>
        </w:rPr>
        <w:t xml:space="preserve"> COMMUNIQUER.</w:t>
      </w:r>
    </w:p>
    <w:p w14:paraId="01931E37" w14:textId="77777777" w:rsidR="00FD03B7" w:rsidRDefault="00FD03B7" w:rsidP="00CD32D3">
      <w:pPr>
        <w:autoSpaceDE w:val="0"/>
        <w:autoSpaceDN w:val="0"/>
        <w:adjustRightInd w:val="0"/>
        <w:jc w:val="both"/>
        <w:rPr>
          <w:rFonts w:cs="Calibri"/>
          <w:lang w:val="fr"/>
        </w:rPr>
      </w:pPr>
    </w:p>
    <w:p w14:paraId="0FF52949" w14:textId="4E3877CA" w:rsidR="00781A86" w:rsidRPr="00553D43" w:rsidRDefault="00781A86" w:rsidP="00553D43">
      <w:pPr>
        <w:spacing w:before="100" w:beforeAutospacing="1" w:after="100" w:afterAutospacing="1"/>
        <w:outlineLvl w:val="0"/>
        <w:rPr>
          <w:bCs/>
          <w:kern w:val="36"/>
          <w:lang w:val="fr-FR"/>
        </w:rPr>
      </w:pPr>
      <w:r w:rsidRPr="00781A86">
        <w:rPr>
          <w:bCs/>
          <w:kern w:val="36"/>
          <w:lang w:val="fr-FR"/>
        </w:rPr>
        <w:t xml:space="preserve">Pour tout renseignement, merci de prendre contact auprès de </w:t>
      </w:r>
    </w:p>
    <w:p w14:paraId="4B3D89E5" w14:textId="67813351" w:rsidR="009369FA" w:rsidRPr="00781A86" w:rsidRDefault="009369FA" w:rsidP="00860B97">
      <w:pPr>
        <w:pStyle w:val="Heading3"/>
        <w:ind w:left="2880"/>
        <w:rPr>
          <w:rFonts w:asciiTheme="minorHAnsi" w:hAnsiTheme="minorHAnsi"/>
          <w:color w:val="FF0000"/>
        </w:rPr>
      </w:pPr>
      <w:r w:rsidRPr="00781A86">
        <w:rPr>
          <w:rFonts w:asciiTheme="minorHAnsi" w:hAnsiTheme="minorHAnsi"/>
          <w:color w:val="FF0000"/>
        </w:rPr>
        <w:t xml:space="preserve">Novelator </w:t>
      </w:r>
      <w:proofErr w:type="spellStart"/>
      <w:r w:rsidR="00860B97">
        <w:rPr>
          <w:rFonts w:asciiTheme="minorHAnsi" w:hAnsiTheme="minorHAnsi"/>
          <w:color w:val="FF0000"/>
        </w:rPr>
        <w:t>sarl</w:t>
      </w:r>
      <w:proofErr w:type="spellEnd"/>
    </w:p>
    <w:p w14:paraId="12E005C3" w14:textId="77777777" w:rsidR="00781A86" w:rsidRPr="00860B97" w:rsidRDefault="00781A86" w:rsidP="00781A86">
      <w:pPr>
        <w:rPr>
          <w:lang w:val="fr-FR"/>
        </w:rPr>
      </w:pPr>
      <w:bookmarkStart w:id="0" w:name="_GoBack"/>
      <w:bookmarkEnd w:id="0"/>
    </w:p>
    <w:p w14:paraId="3749CF13" w14:textId="77777777" w:rsidR="009369FA" w:rsidRPr="00781A86" w:rsidRDefault="009369FA" w:rsidP="00781A86">
      <w:pPr>
        <w:spacing w:line="280" w:lineRule="auto"/>
        <w:jc w:val="center"/>
        <w:rPr>
          <w:color w:val="FF0000"/>
          <w:lang w:val="fr-FR"/>
        </w:rPr>
      </w:pPr>
      <w:r w:rsidRPr="00781A86">
        <w:rPr>
          <w:color w:val="FF0000"/>
          <w:lang w:val="fr-FR"/>
        </w:rPr>
        <w:lastRenderedPageBreak/>
        <w:t>80 rue Lauriston</w:t>
      </w:r>
    </w:p>
    <w:p w14:paraId="2599DF73" w14:textId="77777777" w:rsidR="009369FA" w:rsidRPr="00781A86" w:rsidRDefault="009369FA" w:rsidP="00781A86">
      <w:pPr>
        <w:spacing w:line="280" w:lineRule="auto"/>
        <w:jc w:val="center"/>
        <w:rPr>
          <w:color w:val="FF0000"/>
          <w:lang w:val="fr-FR"/>
        </w:rPr>
      </w:pPr>
      <w:r w:rsidRPr="00781A86">
        <w:rPr>
          <w:color w:val="FF0000"/>
          <w:lang w:val="fr-FR"/>
        </w:rPr>
        <w:t>Paris 75116 France</w:t>
      </w:r>
    </w:p>
    <w:p w14:paraId="3BBB1864" w14:textId="1EE0879A" w:rsidR="00A8367B" w:rsidRPr="0097146B" w:rsidRDefault="00860B97" w:rsidP="0097146B">
      <w:pPr>
        <w:spacing w:line="280" w:lineRule="auto"/>
        <w:jc w:val="center"/>
        <w:rPr>
          <w:color w:val="FF0000"/>
          <w:lang w:val="fr-FR"/>
        </w:rPr>
      </w:pPr>
      <w:hyperlink r:id="rId12" w:history="1">
        <w:r w:rsidR="00553D43" w:rsidRPr="00264970">
          <w:rPr>
            <w:rStyle w:val="Hyperlink"/>
            <w:lang w:val="fr-FR"/>
          </w:rPr>
          <w:t>contact@novelator.com</w:t>
        </w:r>
      </w:hyperlink>
      <w:r w:rsidR="00553D43">
        <w:rPr>
          <w:lang w:val="fr-FR"/>
        </w:rPr>
        <w:t xml:space="preserve"> </w:t>
      </w:r>
      <w:hyperlink r:id="rId13" w:history="1">
        <w:r w:rsidR="00673FBA" w:rsidRPr="00264970">
          <w:rPr>
            <w:rStyle w:val="Hyperlink"/>
            <w:lang w:val="fr-FR"/>
          </w:rPr>
          <w:t>www.novelator.com</w:t>
        </w:r>
        <w:r w:rsidR="00673FBA" w:rsidRPr="00264970">
          <w:rPr>
            <w:rStyle w:val="Hyperlink"/>
            <w:noProof/>
            <w:lang w:eastAsia="en-GB"/>
          </w:rPr>
          <w:drawing>
            <wp:inline distT="0" distB="0" distL="0" distR="0" wp14:anchorId="33DDB9F7" wp14:editId="5C33FF50">
              <wp:extent cx="3086100" cy="735330"/>
              <wp:effectExtent l="0" t="0" r="12700" b="1270"/>
              <wp:docPr id="1746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8354" cy="735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673FBA">
        <w:rPr>
          <w:lang w:val="fr-FR"/>
        </w:rPr>
        <w:t xml:space="preserve"> </w:t>
      </w:r>
      <w:r w:rsidR="00673FBA" w:rsidRPr="00673FBA">
        <w:rPr>
          <w:color w:val="FF0000"/>
          <w:lang w:val="fr-FR"/>
        </w:rPr>
        <w:t>METTRE BON LOG</w:t>
      </w:r>
      <w:r w:rsidR="0097146B">
        <w:rPr>
          <w:color w:val="FF0000"/>
          <w:lang w:val="fr-FR"/>
        </w:rPr>
        <w:t>O</w:t>
      </w:r>
    </w:p>
    <w:sectPr w:rsidR="00A8367B" w:rsidRPr="0097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axOT-Medium">
    <w:panose1 w:val="00000000000000000000"/>
    <w:charset w:val="00"/>
    <w:family w:val="swiss"/>
    <w:notTrueType/>
    <w:pitch w:val="variable"/>
    <w:sig w:usb0="800000AF" w:usb1="4000A4FB" w:usb2="00000000" w:usb3="00000000" w:csb0="00000001" w:csb1="00000000"/>
  </w:font>
  <w:font w:name="DaxOT-Light">
    <w:panose1 w:val="00000000000000000000"/>
    <w:charset w:val="00"/>
    <w:family w:val="swiss"/>
    <w:notTrueType/>
    <w:pitch w:val="variable"/>
    <w:sig w:usb0="800000AF" w:usb1="4000A4FB" w:usb2="00000000" w:usb3="00000000" w:csb0="00000001" w:csb1="00000000"/>
  </w:font>
  <w:font w:name="DaxO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862860"/>
    <w:lvl w:ilvl="0">
      <w:numFmt w:val="bullet"/>
      <w:lvlText w:val="*"/>
      <w:lvlJc w:val="left"/>
    </w:lvl>
  </w:abstractNum>
  <w:abstractNum w:abstractNumId="1" w15:restartNumberingAfterBreak="0">
    <w:nsid w:val="0B0F69A6"/>
    <w:multiLevelType w:val="hybridMultilevel"/>
    <w:tmpl w:val="B53430A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FAC6A38"/>
    <w:multiLevelType w:val="hybridMultilevel"/>
    <w:tmpl w:val="4EB6213A"/>
    <w:lvl w:ilvl="0" w:tplc="2660B4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015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00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A2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6E1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A6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A36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82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24A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EDE"/>
    <w:multiLevelType w:val="hybridMultilevel"/>
    <w:tmpl w:val="E4C87256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9097022"/>
    <w:multiLevelType w:val="hybridMultilevel"/>
    <w:tmpl w:val="317CCA0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2915474A"/>
    <w:multiLevelType w:val="hybridMultilevel"/>
    <w:tmpl w:val="574A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392F"/>
    <w:multiLevelType w:val="hybridMultilevel"/>
    <w:tmpl w:val="EF52CCB6"/>
    <w:lvl w:ilvl="0" w:tplc="0980BC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202967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A4C6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914FE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63648C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D0A8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814DB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45C36C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C8A0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132FA"/>
    <w:multiLevelType w:val="hybridMultilevel"/>
    <w:tmpl w:val="D9A40B96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BE52065"/>
    <w:multiLevelType w:val="hybridMultilevel"/>
    <w:tmpl w:val="FC2A9106"/>
    <w:lvl w:ilvl="0" w:tplc="2A009D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F878F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724363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BAE2C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D29BD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EA633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5C2EA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4DA47D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10E394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96623"/>
    <w:multiLevelType w:val="hybridMultilevel"/>
    <w:tmpl w:val="24EA6D42"/>
    <w:lvl w:ilvl="0" w:tplc="FA2AD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4F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6A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C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00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28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8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61123A"/>
    <w:multiLevelType w:val="hybridMultilevel"/>
    <w:tmpl w:val="C722F072"/>
    <w:lvl w:ilvl="0" w:tplc="F0E2AE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B10856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68AD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B46885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2CFDC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57CC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838D8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D4C9C0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1A8A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213F9"/>
    <w:multiLevelType w:val="hybridMultilevel"/>
    <w:tmpl w:val="B3FEC598"/>
    <w:lvl w:ilvl="0" w:tplc="FBAA4B30">
      <w:start w:val="1"/>
      <w:numFmt w:val="bullet"/>
      <w:lvlText w:val="•"/>
      <w:lvlJc w:val="left"/>
      <w:pPr>
        <w:tabs>
          <w:tab w:val="num" w:pos="530"/>
        </w:tabs>
        <w:ind w:left="530" w:hanging="360"/>
      </w:pPr>
      <w:rPr>
        <w:rFonts w:ascii="Arial" w:hAnsi="Arial" w:hint="default"/>
      </w:rPr>
    </w:lvl>
    <w:lvl w:ilvl="1" w:tplc="FE688D72" w:tentative="1">
      <w:start w:val="1"/>
      <w:numFmt w:val="bullet"/>
      <w:lvlText w:val="•"/>
      <w:lvlJc w:val="left"/>
      <w:pPr>
        <w:tabs>
          <w:tab w:val="num" w:pos="1250"/>
        </w:tabs>
        <w:ind w:left="1250" w:hanging="360"/>
      </w:pPr>
      <w:rPr>
        <w:rFonts w:ascii="Arial" w:hAnsi="Arial" w:hint="default"/>
      </w:rPr>
    </w:lvl>
    <w:lvl w:ilvl="2" w:tplc="D6203772" w:tentative="1">
      <w:start w:val="1"/>
      <w:numFmt w:val="bullet"/>
      <w:lvlText w:val="•"/>
      <w:lvlJc w:val="left"/>
      <w:pPr>
        <w:tabs>
          <w:tab w:val="num" w:pos="1970"/>
        </w:tabs>
        <w:ind w:left="1970" w:hanging="360"/>
      </w:pPr>
      <w:rPr>
        <w:rFonts w:ascii="Arial" w:hAnsi="Arial" w:hint="default"/>
      </w:rPr>
    </w:lvl>
    <w:lvl w:ilvl="3" w:tplc="A078A336" w:tentative="1">
      <w:start w:val="1"/>
      <w:numFmt w:val="bullet"/>
      <w:lvlText w:val="•"/>
      <w:lvlJc w:val="left"/>
      <w:pPr>
        <w:tabs>
          <w:tab w:val="num" w:pos="2690"/>
        </w:tabs>
        <w:ind w:left="2690" w:hanging="360"/>
      </w:pPr>
      <w:rPr>
        <w:rFonts w:ascii="Arial" w:hAnsi="Arial" w:hint="default"/>
      </w:rPr>
    </w:lvl>
    <w:lvl w:ilvl="4" w:tplc="DE6459BA" w:tentative="1">
      <w:start w:val="1"/>
      <w:numFmt w:val="bullet"/>
      <w:lvlText w:val="•"/>
      <w:lvlJc w:val="left"/>
      <w:pPr>
        <w:tabs>
          <w:tab w:val="num" w:pos="3410"/>
        </w:tabs>
        <w:ind w:left="3410" w:hanging="360"/>
      </w:pPr>
      <w:rPr>
        <w:rFonts w:ascii="Arial" w:hAnsi="Arial" w:hint="default"/>
      </w:rPr>
    </w:lvl>
    <w:lvl w:ilvl="5" w:tplc="B5D8CE56" w:tentative="1">
      <w:start w:val="1"/>
      <w:numFmt w:val="bullet"/>
      <w:lvlText w:val="•"/>
      <w:lvlJc w:val="left"/>
      <w:pPr>
        <w:tabs>
          <w:tab w:val="num" w:pos="4130"/>
        </w:tabs>
        <w:ind w:left="4130" w:hanging="360"/>
      </w:pPr>
      <w:rPr>
        <w:rFonts w:ascii="Arial" w:hAnsi="Arial" w:hint="default"/>
      </w:rPr>
    </w:lvl>
    <w:lvl w:ilvl="6" w:tplc="5862FF66" w:tentative="1">
      <w:start w:val="1"/>
      <w:numFmt w:val="bullet"/>
      <w:lvlText w:val="•"/>
      <w:lvlJc w:val="left"/>
      <w:pPr>
        <w:tabs>
          <w:tab w:val="num" w:pos="4850"/>
        </w:tabs>
        <w:ind w:left="4850" w:hanging="360"/>
      </w:pPr>
      <w:rPr>
        <w:rFonts w:ascii="Arial" w:hAnsi="Arial" w:hint="default"/>
      </w:rPr>
    </w:lvl>
    <w:lvl w:ilvl="7" w:tplc="9CBA0F5E" w:tentative="1">
      <w:start w:val="1"/>
      <w:numFmt w:val="bullet"/>
      <w:lvlText w:val="•"/>
      <w:lvlJc w:val="left"/>
      <w:pPr>
        <w:tabs>
          <w:tab w:val="num" w:pos="5570"/>
        </w:tabs>
        <w:ind w:left="5570" w:hanging="360"/>
      </w:pPr>
      <w:rPr>
        <w:rFonts w:ascii="Arial" w:hAnsi="Arial" w:hint="default"/>
      </w:rPr>
    </w:lvl>
    <w:lvl w:ilvl="8" w:tplc="D07E040C" w:tentative="1">
      <w:start w:val="1"/>
      <w:numFmt w:val="bullet"/>
      <w:lvlText w:val="•"/>
      <w:lvlJc w:val="left"/>
      <w:pPr>
        <w:tabs>
          <w:tab w:val="num" w:pos="6290"/>
        </w:tabs>
        <w:ind w:left="6290" w:hanging="360"/>
      </w:pPr>
      <w:rPr>
        <w:rFonts w:ascii="Arial" w:hAnsi="Arial" w:hint="default"/>
      </w:rPr>
    </w:lvl>
  </w:abstractNum>
  <w:abstractNum w:abstractNumId="12" w15:restartNumberingAfterBreak="0">
    <w:nsid w:val="72B14CAD"/>
    <w:multiLevelType w:val="hybridMultilevel"/>
    <w:tmpl w:val="A90CD086"/>
    <w:lvl w:ilvl="0" w:tplc="FBF6A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3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0F0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E48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2A4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217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1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0D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C87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116FE"/>
    <w:multiLevelType w:val="hybridMultilevel"/>
    <w:tmpl w:val="6E3C824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790B5F02"/>
    <w:multiLevelType w:val="hybridMultilevel"/>
    <w:tmpl w:val="25CC745E"/>
    <w:lvl w:ilvl="0" w:tplc="B03E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07C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344D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CB68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A6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D3A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6FE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180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4AE4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FA"/>
    <w:rsid w:val="00001930"/>
    <w:rsid w:val="000024FF"/>
    <w:rsid w:val="00003A42"/>
    <w:rsid w:val="00005FF6"/>
    <w:rsid w:val="00010563"/>
    <w:rsid w:val="00011466"/>
    <w:rsid w:val="00015320"/>
    <w:rsid w:val="0001570A"/>
    <w:rsid w:val="000157EA"/>
    <w:rsid w:val="0001605F"/>
    <w:rsid w:val="00016552"/>
    <w:rsid w:val="000176D1"/>
    <w:rsid w:val="00020B30"/>
    <w:rsid w:val="00026DD7"/>
    <w:rsid w:val="000317D5"/>
    <w:rsid w:val="00033AE0"/>
    <w:rsid w:val="000416D6"/>
    <w:rsid w:val="00041BB8"/>
    <w:rsid w:val="00041CC1"/>
    <w:rsid w:val="00046E1D"/>
    <w:rsid w:val="0004764F"/>
    <w:rsid w:val="0004767B"/>
    <w:rsid w:val="0005028B"/>
    <w:rsid w:val="00053BB9"/>
    <w:rsid w:val="0006041D"/>
    <w:rsid w:val="000609B3"/>
    <w:rsid w:val="000627C9"/>
    <w:rsid w:val="00064ABD"/>
    <w:rsid w:val="000744A7"/>
    <w:rsid w:val="00082CC1"/>
    <w:rsid w:val="00083BD3"/>
    <w:rsid w:val="00087148"/>
    <w:rsid w:val="00087DFB"/>
    <w:rsid w:val="00090DB9"/>
    <w:rsid w:val="00091449"/>
    <w:rsid w:val="00093DDE"/>
    <w:rsid w:val="000A03D8"/>
    <w:rsid w:val="000A0B58"/>
    <w:rsid w:val="000A397D"/>
    <w:rsid w:val="000A6F7E"/>
    <w:rsid w:val="000B27BF"/>
    <w:rsid w:val="000B2B80"/>
    <w:rsid w:val="000B454B"/>
    <w:rsid w:val="000B4F25"/>
    <w:rsid w:val="000C22D3"/>
    <w:rsid w:val="000D3DE1"/>
    <w:rsid w:val="000D3FC7"/>
    <w:rsid w:val="000D4A43"/>
    <w:rsid w:val="000D75E6"/>
    <w:rsid w:val="000E2A5B"/>
    <w:rsid w:val="000E3566"/>
    <w:rsid w:val="000E409A"/>
    <w:rsid w:val="000E551B"/>
    <w:rsid w:val="000F04E8"/>
    <w:rsid w:val="000F123A"/>
    <w:rsid w:val="000F3CF0"/>
    <w:rsid w:val="000F433C"/>
    <w:rsid w:val="0010007C"/>
    <w:rsid w:val="001009E4"/>
    <w:rsid w:val="001014E5"/>
    <w:rsid w:val="00101BF9"/>
    <w:rsid w:val="001033F6"/>
    <w:rsid w:val="001079B8"/>
    <w:rsid w:val="001117CD"/>
    <w:rsid w:val="001164A7"/>
    <w:rsid w:val="00117090"/>
    <w:rsid w:val="00124198"/>
    <w:rsid w:val="001250FB"/>
    <w:rsid w:val="00127807"/>
    <w:rsid w:val="00137601"/>
    <w:rsid w:val="0014341A"/>
    <w:rsid w:val="0014378F"/>
    <w:rsid w:val="00143B48"/>
    <w:rsid w:val="00146889"/>
    <w:rsid w:val="00147BD6"/>
    <w:rsid w:val="00147FF8"/>
    <w:rsid w:val="001500FC"/>
    <w:rsid w:val="00152B59"/>
    <w:rsid w:val="00157246"/>
    <w:rsid w:val="00157275"/>
    <w:rsid w:val="00157B18"/>
    <w:rsid w:val="00157E24"/>
    <w:rsid w:val="001603F8"/>
    <w:rsid w:val="00160D4F"/>
    <w:rsid w:val="0016254E"/>
    <w:rsid w:val="00163775"/>
    <w:rsid w:val="00163E16"/>
    <w:rsid w:val="00165666"/>
    <w:rsid w:val="00165A2F"/>
    <w:rsid w:val="001706D9"/>
    <w:rsid w:val="00170ADF"/>
    <w:rsid w:val="00171892"/>
    <w:rsid w:val="001746EB"/>
    <w:rsid w:val="00183683"/>
    <w:rsid w:val="0019188F"/>
    <w:rsid w:val="00191A9A"/>
    <w:rsid w:val="00192DC9"/>
    <w:rsid w:val="00194619"/>
    <w:rsid w:val="00195EB7"/>
    <w:rsid w:val="001A08A6"/>
    <w:rsid w:val="001A2BF8"/>
    <w:rsid w:val="001A6436"/>
    <w:rsid w:val="001B0C92"/>
    <w:rsid w:val="001B1B02"/>
    <w:rsid w:val="001B3013"/>
    <w:rsid w:val="001B3B48"/>
    <w:rsid w:val="001C3C09"/>
    <w:rsid w:val="001D0416"/>
    <w:rsid w:val="001D3BD8"/>
    <w:rsid w:val="001D404D"/>
    <w:rsid w:val="001D4EBF"/>
    <w:rsid w:val="001D4EC0"/>
    <w:rsid w:val="001D5950"/>
    <w:rsid w:val="001E1902"/>
    <w:rsid w:val="001E1B0C"/>
    <w:rsid w:val="001E214F"/>
    <w:rsid w:val="001E5C5A"/>
    <w:rsid w:val="001F13B4"/>
    <w:rsid w:val="001F3A0C"/>
    <w:rsid w:val="001F6F44"/>
    <w:rsid w:val="001F7C45"/>
    <w:rsid w:val="00202C0B"/>
    <w:rsid w:val="00202E4B"/>
    <w:rsid w:val="00204E78"/>
    <w:rsid w:val="0020665A"/>
    <w:rsid w:val="00207834"/>
    <w:rsid w:val="0021324D"/>
    <w:rsid w:val="002151EC"/>
    <w:rsid w:val="00216AB4"/>
    <w:rsid w:val="00217997"/>
    <w:rsid w:val="002236E5"/>
    <w:rsid w:val="002250E2"/>
    <w:rsid w:val="00227A66"/>
    <w:rsid w:val="0023013B"/>
    <w:rsid w:val="002310C9"/>
    <w:rsid w:val="00234D71"/>
    <w:rsid w:val="00240CAE"/>
    <w:rsid w:val="00246CD1"/>
    <w:rsid w:val="00250B35"/>
    <w:rsid w:val="00250DCD"/>
    <w:rsid w:val="002518DB"/>
    <w:rsid w:val="0025249E"/>
    <w:rsid w:val="0026348E"/>
    <w:rsid w:val="002669D2"/>
    <w:rsid w:val="00267A7A"/>
    <w:rsid w:val="00271DA2"/>
    <w:rsid w:val="002735EB"/>
    <w:rsid w:val="00273D5B"/>
    <w:rsid w:val="0027696A"/>
    <w:rsid w:val="00277918"/>
    <w:rsid w:val="0028139B"/>
    <w:rsid w:val="00281EC4"/>
    <w:rsid w:val="0028225A"/>
    <w:rsid w:val="00285271"/>
    <w:rsid w:val="0028700D"/>
    <w:rsid w:val="00287201"/>
    <w:rsid w:val="00292A6D"/>
    <w:rsid w:val="00292D82"/>
    <w:rsid w:val="00293EA4"/>
    <w:rsid w:val="00295996"/>
    <w:rsid w:val="00295CE0"/>
    <w:rsid w:val="00297508"/>
    <w:rsid w:val="002A1329"/>
    <w:rsid w:val="002A27E8"/>
    <w:rsid w:val="002A4FAF"/>
    <w:rsid w:val="002A69CB"/>
    <w:rsid w:val="002B41B4"/>
    <w:rsid w:val="002B495D"/>
    <w:rsid w:val="002B7064"/>
    <w:rsid w:val="002B72A9"/>
    <w:rsid w:val="002C1210"/>
    <w:rsid w:val="002C2101"/>
    <w:rsid w:val="002C3A2F"/>
    <w:rsid w:val="002D002B"/>
    <w:rsid w:val="002D0DCB"/>
    <w:rsid w:val="002D14CB"/>
    <w:rsid w:val="002D1B2E"/>
    <w:rsid w:val="002D482D"/>
    <w:rsid w:val="002D4A59"/>
    <w:rsid w:val="002E0256"/>
    <w:rsid w:val="002E12AB"/>
    <w:rsid w:val="002F35F4"/>
    <w:rsid w:val="002F5B10"/>
    <w:rsid w:val="002F7C0E"/>
    <w:rsid w:val="00300489"/>
    <w:rsid w:val="0030127F"/>
    <w:rsid w:val="003035D1"/>
    <w:rsid w:val="00305F61"/>
    <w:rsid w:val="00307C7C"/>
    <w:rsid w:val="00314F29"/>
    <w:rsid w:val="00321E10"/>
    <w:rsid w:val="00326221"/>
    <w:rsid w:val="00326F93"/>
    <w:rsid w:val="00327919"/>
    <w:rsid w:val="00333302"/>
    <w:rsid w:val="00335079"/>
    <w:rsid w:val="00337451"/>
    <w:rsid w:val="00337FE3"/>
    <w:rsid w:val="003422A6"/>
    <w:rsid w:val="003516FB"/>
    <w:rsid w:val="00352AC3"/>
    <w:rsid w:val="003555FC"/>
    <w:rsid w:val="00355780"/>
    <w:rsid w:val="0035714D"/>
    <w:rsid w:val="00361217"/>
    <w:rsid w:val="00362C73"/>
    <w:rsid w:val="0036468A"/>
    <w:rsid w:val="00367259"/>
    <w:rsid w:val="003678DB"/>
    <w:rsid w:val="00371F98"/>
    <w:rsid w:val="0037682F"/>
    <w:rsid w:val="003801C2"/>
    <w:rsid w:val="0039056E"/>
    <w:rsid w:val="003917EA"/>
    <w:rsid w:val="003A09D7"/>
    <w:rsid w:val="003A63DF"/>
    <w:rsid w:val="003A6EE9"/>
    <w:rsid w:val="003B1D25"/>
    <w:rsid w:val="003B7275"/>
    <w:rsid w:val="003B7FC2"/>
    <w:rsid w:val="003C03E0"/>
    <w:rsid w:val="003C11F4"/>
    <w:rsid w:val="003C1913"/>
    <w:rsid w:val="003C1A1B"/>
    <w:rsid w:val="003C6F19"/>
    <w:rsid w:val="003D1E52"/>
    <w:rsid w:val="003D549C"/>
    <w:rsid w:val="003D6503"/>
    <w:rsid w:val="003E0649"/>
    <w:rsid w:val="003E5CF9"/>
    <w:rsid w:val="003F4571"/>
    <w:rsid w:val="003F5285"/>
    <w:rsid w:val="003F6ECC"/>
    <w:rsid w:val="00400742"/>
    <w:rsid w:val="004018E7"/>
    <w:rsid w:val="00401F7C"/>
    <w:rsid w:val="00404650"/>
    <w:rsid w:val="004060CC"/>
    <w:rsid w:val="0040675E"/>
    <w:rsid w:val="0041328C"/>
    <w:rsid w:val="00415AA7"/>
    <w:rsid w:val="004209E0"/>
    <w:rsid w:val="00424E57"/>
    <w:rsid w:val="004258B9"/>
    <w:rsid w:val="00430248"/>
    <w:rsid w:val="00433D2A"/>
    <w:rsid w:val="00435BD2"/>
    <w:rsid w:val="00436147"/>
    <w:rsid w:val="00437E5E"/>
    <w:rsid w:val="00442A42"/>
    <w:rsid w:val="00445EE0"/>
    <w:rsid w:val="0045126D"/>
    <w:rsid w:val="00451ECC"/>
    <w:rsid w:val="00452AD0"/>
    <w:rsid w:val="00452FFA"/>
    <w:rsid w:val="00453FFE"/>
    <w:rsid w:val="00455E72"/>
    <w:rsid w:val="004574A6"/>
    <w:rsid w:val="004631A8"/>
    <w:rsid w:val="00463E4E"/>
    <w:rsid w:val="0046410B"/>
    <w:rsid w:val="00473B5E"/>
    <w:rsid w:val="00475EE6"/>
    <w:rsid w:val="00485706"/>
    <w:rsid w:val="0049156E"/>
    <w:rsid w:val="004920EC"/>
    <w:rsid w:val="004947B7"/>
    <w:rsid w:val="004956C3"/>
    <w:rsid w:val="00497E8A"/>
    <w:rsid w:val="004A1AB1"/>
    <w:rsid w:val="004A256C"/>
    <w:rsid w:val="004A78DF"/>
    <w:rsid w:val="004B5E4C"/>
    <w:rsid w:val="004C1E3C"/>
    <w:rsid w:val="004C226C"/>
    <w:rsid w:val="004C2CD8"/>
    <w:rsid w:val="004C39BF"/>
    <w:rsid w:val="004D0BEC"/>
    <w:rsid w:val="004D27D4"/>
    <w:rsid w:val="004D632D"/>
    <w:rsid w:val="004E0446"/>
    <w:rsid w:val="004E489C"/>
    <w:rsid w:val="004E60A0"/>
    <w:rsid w:val="004F0D32"/>
    <w:rsid w:val="004F1ED2"/>
    <w:rsid w:val="004F527B"/>
    <w:rsid w:val="004F5297"/>
    <w:rsid w:val="004F6D31"/>
    <w:rsid w:val="00504025"/>
    <w:rsid w:val="005041CE"/>
    <w:rsid w:val="005055E4"/>
    <w:rsid w:val="00506224"/>
    <w:rsid w:val="005066AE"/>
    <w:rsid w:val="00510E5F"/>
    <w:rsid w:val="00513762"/>
    <w:rsid w:val="005208E2"/>
    <w:rsid w:val="00520FB1"/>
    <w:rsid w:val="005231F8"/>
    <w:rsid w:val="0052507A"/>
    <w:rsid w:val="00531467"/>
    <w:rsid w:val="005322E4"/>
    <w:rsid w:val="005361A7"/>
    <w:rsid w:val="00541783"/>
    <w:rsid w:val="005445DB"/>
    <w:rsid w:val="005461A1"/>
    <w:rsid w:val="00553D43"/>
    <w:rsid w:val="0056096A"/>
    <w:rsid w:val="0057154A"/>
    <w:rsid w:val="0057512A"/>
    <w:rsid w:val="005767FC"/>
    <w:rsid w:val="00576896"/>
    <w:rsid w:val="00576E34"/>
    <w:rsid w:val="00577EDA"/>
    <w:rsid w:val="00584E5A"/>
    <w:rsid w:val="00586E9B"/>
    <w:rsid w:val="005921CB"/>
    <w:rsid w:val="00593E84"/>
    <w:rsid w:val="00594DB3"/>
    <w:rsid w:val="0059710C"/>
    <w:rsid w:val="00597516"/>
    <w:rsid w:val="005A2F98"/>
    <w:rsid w:val="005A3BB6"/>
    <w:rsid w:val="005A5358"/>
    <w:rsid w:val="005A66C7"/>
    <w:rsid w:val="005A6B39"/>
    <w:rsid w:val="005A7C3F"/>
    <w:rsid w:val="005B011E"/>
    <w:rsid w:val="005B0965"/>
    <w:rsid w:val="005B2230"/>
    <w:rsid w:val="005B57C7"/>
    <w:rsid w:val="005C4156"/>
    <w:rsid w:val="005C4567"/>
    <w:rsid w:val="005C5934"/>
    <w:rsid w:val="005D1899"/>
    <w:rsid w:val="005D1F6B"/>
    <w:rsid w:val="005D4E94"/>
    <w:rsid w:val="005D66DC"/>
    <w:rsid w:val="005E5BA2"/>
    <w:rsid w:val="005E7582"/>
    <w:rsid w:val="005F7211"/>
    <w:rsid w:val="00600A3E"/>
    <w:rsid w:val="00600A45"/>
    <w:rsid w:val="00601A80"/>
    <w:rsid w:val="0060766D"/>
    <w:rsid w:val="00607F52"/>
    <w:rsid w:val="00610ABA"/>
    <w:rsid w:val="006114AB"/>
    <w:rsid w:val="00615905"/>
    <w:rsid w:val="00617C49"/>
    <w:rsid w:val="00623347"/>
    <w:rsid w:val="00623D78"/>
    <w:rsid w:val="006241AC"/>
    <w:rsid w:val="0062643B"/>
    <w:rsid w:val="006272E6"/>
    <w:rsid w:val="006276F2"/>
    <w:rsid w:val="00630A7B"/>
    <w:rsid w:val="006325B7"/>
    <w:rsid w:val="006325C2"/>
    <w:rsid w:val="006328D5"/>
    <w:rsid w:val="006426F5"/>
    <w:rsid w:val="006445C8"/>
    <w:rsid w:val="00644A4A"/>
    <w:rsid w:val="006534AE"/>
    <w:rsid w:val="006603DF"/>
    <w:rsid w:val="00660C2C"/>
    <w:rsid w:val="00660CA7"/>
    <w:rsid w:val="00661330"/>
    <w:rsid w:val="00661CAB"/>
    <w:rsid w:val="00663848"/>
    <w:rsid w:val="006640CF"/>
    <w:rsid w:val="00665C9B"/>
    <w:rsid w:val="00666480"/>
    <w:rsid w:val="0067397D"/>
    <w:rsid w:val="00673FBA"/>
    <w:rsid w:val="006743F6"/>
    <w:rsid w:val="00674F6D"/>
    <w:rsid w:val="00680DBE"/>
    <w:rsid w:val="00682267"/>
    <w:rsid w:val="0068360F"/>
    <w:rsid w:val="00685FDC"/>
    <w:rsid w:val="006924A2"/>
    <w:rsid w:val="006925CD"/>
    <w:rsid w:val="006A1CCD"/>
    <w:rsid w:val="006A21F9"/>
    <w:rsid w:val="006A420B"/>
    <w:rsid w:val="006A4E3A"/>
    <w:rsid w:val="006A5664"/>
    <w:rsid w:val="006B2A96"/>
    <w:rsid w:val="006B3B22"/>
    <w:rsid w:val="006B636D"/>
    <w:rsid w:val="006C0682"/>
    <w:rsid w:val="006C266C"/>
    <w:rsid w:val="006D507F"/>
    <w:rsid w:val="006D55A8"/>
    <w:rsid w:val="006D7F58"/>
    <w:rsid w:val="006E08BA"/>
    <w:rsid w:val="006E254A"/>
    <w:rsid w:val="006E37C7"/>
    <w:rsid w:val="006E4D32"/>
    <w:rsid w:val="006E6767"/>
    <w:rsid w:val="006E759D"/>
    <w:rsid w:val="006E7811"/>
    <w:rsid w:val="006F4F6B"/>
    <w:rsid w:val="006F6C0D"/>
    <w:rsid w:val="00700769"/>
    <w:rsid w:val="00700791"/>
    <w:rsid w:val="00700E8A"/>
    <w:rsid w:val="00706190"/>
    <w:rsid w:val="007067D6"/>
    <w:rsid w:val="00707E24"/>
    <w:rsid w:val="00712745"/>
    <w:rsid w:val="00723770"/>
    <w:rsid w:val="007254A8"/>
    <w:rsid w:val="007269AB"/>
    <w:rsid w:val="00726C7A"/>
    <w:rsid w:val="00727895"/>
    <w:rsid w:val="00730CB2"/>
    <w:rsid w:val="007352A2"/>
    <w:rsid w:val="007367A8"/>
    <w:rsid w:val="00740CBB"/>
    <w:rsid w:val="007469D8"/>
    <w:rsid w:val="00747203"/>
    <w:rsid w:val="0075132D"/>
    <w:rsid w:val="00757349"/>
    <w:rsid w:val="0076251E"/>
    <w:rsid w:val="00767118"/>
    <w:rsid w:val="00767FE4"/>
    <w:rsid w:val="00774217"/>
    <w:rsid w:val="00781A86"/>
    <w:rsid w:val="00785FA2"/>
    <w:rsid w:val="00786E4C"/>
    <w:rsid w:val="0079045B"/>
    <w:rsid w:val="00792F2B"/>
    <w:rsid w:val="00793632"/>
    <w:rsid w:val="007946E7"/>
    <w:rsid w:val="00794F26"/>
    <w:rsid w:val="0079661E"/>
    <w:rsid w:val="007A17A1"/>
    <w:rsid w:val="007A17CD"/>
    <w:rsid w:val="007A196B"/>
    <w:rsid w:val="007A3C9B"/>
    <w:rsid w:val="007A4159"/>
    <w:rsid w:val="007B0B7A"/>
    <w:rsid w:val="007C1242"/>
    <w:rsid w:val="007C167C"/>
    <w:rsid w:val="007C40EF"/>
    <w:rsid w:val="007C47CA"/>
    <w:rsid w:val="007C556C"/>
    <w:rsid w:val="007C6ED5"/>
    <w:rsid w:val="007C7BA9"/>
    <w:rsid w:val="007C7C88"/>
    <w:rsid w:val="007C7F25"/>
    <w:rsid w:val="007D121F"/>
    <w:rsid w:val="007D6ADF"/>
    <w:rsid w:val="007D712C"/>
    <w:rsid w:val="007E7022"/>
    <w:rsid w:val="007F05AC"/>
    <w:rsid w:val="007F7FF7"/>
    <w:rsid w:val="0080000E"/>
    <w:rsid w:val="0080182E"/>
    <w:rsid w:val="008051E9"/>
    <w:rsid w:val="008072C3"/>
    <w:rsid w:val="00816F5A"/>
    <w:rsid w:val="008178E8"/>
    <w:rsid w:val="00817F21"/>
    <w:rsid w:val="00820EE0"/>
    <w:rsid w:val="00820F17"/>
    <w:rsid w:val="00823BBE"/>
    <w:rsid w:val="008262CE"/>
    <w:rsid w:val="00836A5F"/>
    <w:rsid w:val="0083793A"/>
    <w:rsid w:val="00846A45"/>
    <w:rsid w:val="00853940"/>
    <w:rsid w:val="008547E7"/>
    <w:rsid w:val="00860B97"/>
    <w:rsid w:val="008655CD"/>
    <w:rsid w:val="00866D6F"/>
    <w:rsid w:val="00873138"/>
    <w:rsid w:val="0087484F"/>
    <w:rsid w:val="008758B2"/>
    <w:rsid w:val="00876A82"/>
    <w:rsid w:val="0088001E"/>
    <w:rsid w:val="00883207"/>
    <w:rsid w:val="00884792"/>
    <w:rsid w:val="008868CF"/>
    <w:rsid w:val="008907C5"/>
    <w:rsid w:val="0089184F"/>
    <w:rsid w:val="0089229C"/>
    <w:rsid w:val="0089413F"/>
    <w:rsid w:val="00895AF5"/>
    <w:rsid w:val="008A010B"/>
    <w:rsid w:val="008A2563"/>
    <w:rsid w:val="008A2C56"/>
    <w:rsid w:val="008A34EC"/>
    <w:rsid w:val="008A5421"/>
    <w:rsid w:val="008A5B8D"/>
    <w:rsid w:val="008A5CAB"/>
    <w:rsid w:val="008A7729"/>
    <w:rsid w:val="008B17B5"/>
    <w:rsid w:val="008B287A"/>
    <w:rsid w:val="008B2A01"/>
    <w:rsid w:val="008B51ED"/>
    <w:rsid w:val="008B6A29"/>
    <w:rsid w:val="008B7874"/>
    <w:rsid w:val="008C1484"/>
    <w:rsid w:val="008C30C9"/>
    <w:rsid w:val="008C60DF"/>
    <w:rsid w:val="008D0D62"/>
    <w:rsid w:val="008D378D"/>
    <w:rsid w:val="008E05D5"/>
    <w:rsid w:val="008E1936"/>
    <w:rsid w:val="008E2271"/>
    <w:rsid w:val="008E48AA"/>
    <w:rsid w:val="008E6245"/>
    <w:rsid w:val="008F0521"/>
    <w:rsid w:val="008F0BCB"/>
    <w:rsid w:val="008F5E3B"/>
    <w:rsid w:val="008F6D60"/>
    <w:rsid w:val="008F6DCA"/>
    <w:rsid w:val="008F704D"/>
    <w:rsid w:val="008F7E81"/>
    <w:rsid w:val="00901FFE"/>
    <w:rsid w:val="00904437"/>
    <w:rsid w:val="0090478A"/>
    <w:rsid w:val="009065EA"/>
    <w:rsid w:val="009070EB"/>
    <w:rsid w:val="00910A5A"/>
    <w:rsid w:val="00910C73"/>
    <w:rsid w:val="0091664E"/>
    <w:rsid w:val="00920E72"/>
    <w:rsid w:val="009213E1"/>
    <w:rsid w:val="00922324"/>
    <w:rsid w:val="009319ED"/>
    <w:rsid w:val="00931EC3"/>
    <w:rsid w:val="00932AAA"/>
    <w:rsid w:val="009369FA"/>
    <w:rsid w:val="00937E82"/>
    <w:rsid w:val="009402DE"/>
    <w:rsid w:val="00942846"/>
    <w:rsid w:val="00942BAB"/>
    <w:rsid w:val="00943E9A"/>
    <w:rsid w:val="00946B9A"/>
    <w:rsid w:val="009506EB"/>
    <w:rsid w:val="00952FCB"/>
    <w:rsid w:val="00954446"/>
    <w:rsid w:val="009624D5"/>
    <w:rsid w:val="0097146B"/>
    <w:rsid w:val="009758A7"/>
    <w:rsid w:val="00980424"/>
    <w:rsid w:val="00983754"/>
    <w:rsid w:val="009842A7"/>
    <w:rsid w:val="00984537"/>
    <w:rsid w:val="009867B5"/>
    <w:rsid w:val="00992010"/>
    <w:rsid w:val="00994C00"/>
    <w:rsid w:val="0099564A"/>
    <w:rsid w:val="009969C4"/>
    <w:rsid w:val="009A2899"/>
    <w:rsid w:val="009A4334"/>
    <w:rsid w:val="009A7523"/>
    <w:rsid w:val="009B0AC9"/>
    <w:rsid w:val="009B6421"/>
    <w:rsid w:val="009B68B5"/>
    <w:rsid w:val="009B6C7B"/>
    <w:rsid w:val="009B7FF8"/>
    <w:rsid w:val="009C0502"/>
    <w:rsid w:val="009C1096"/>
    <w:rsid w:val="009C14A8"/>
    <w:rsid w:val="009C43AB"/>
    <w:rsid w:val="009C4785"/>
    <w:rsid w:val="009C780A"/>
    <w:rsid w:val="009E0E4C"/>
    <w:rsid w:val="009E3AD3"/>
    <w:rsid w:val="009E66A9"/>
    <w:rsid w:val="009F2760"/>
    <w:rsid w:val="009F51A1"/>
    <w:rsid w:val="009F71CF"/>
    <w:rsid w:val="00A03E54"/>
    <w:rsid w:val="00A07A2E"/>
    <w:rsid w:val="00A14433"/>
    <w:rsid w:val="00A1505E"/>
    <w:rsid w:val="00A15D79"/>
    <w:rsid w:val="00A160D6"/>
    <w:rsid w:val="00A2024E"/>
    <w:rsid w:val="00A25BDA"/>
    <w:rsid w:val="00A25BFE"/>
    <w:rsid w:val="00A30D50"/>
    <w:rsid w:val="00A30EE3"/>
    <w:rsid w:val="00A32B39"/>
    <w:rsid w:val="00A35BB1"/>
    <w:rsid w:val="00A3725E"/>
    <w:rsid w:val="00A4021E"/>
    <w:rsid w:val="00A45717"/>
    <w:rsid w:val="00A46B10"/>
    <w:rsid w:val="00A47DB3"/>
    <w:rsid w:val="00A50874"/>
    <w:rsid w:val="00A518B5"/>
    <w:rsid w:val="00A52751"/>
    <w:rsid w:val="00A52864"/>
    <w:rsid w:val="00A53358"/>
    <w:rsid w:val="00A56F81"/>
    <w:rsid w:val="00A627A6"/>
    <w:rsid w:val="00A63B90"/>
    <w:rsid w:val="00A64914"/>
    <w:rsid w:val="00A64B18"/>
    <w:rsid w:val="00A65826"/>
    <w:rsid w:val="00A76B13"/>
    <w:rsid w:val="00A771B5"/>
    <w:rsid w:val="00A811E5"/>
    <w:rsid w:val="00A8367B"/>
    <w:rsid w:val="00A92ED8"/>
    <w:rsid w:val="00AA060E"/>
    <w:rsid w:val="00AA1B4D"/>
    <w:rsid w:val="00AA2219"/>
    <w:rsid w:val="00AA2FB7"/>
    <w:rsid w:val="00AA6497"/>
    <w:rsid w:val="00AB36CF"/>
    <w:rsid w:val="00AB59E2"/>
    <w:rsid w:val="00AC186E"/>
    <w:rsid w:val="00AC7727"/>
    <w:rsid w:val="00AD310A"/>
    <w:rsid w:val="00AD7697"/>
    <w:rsid w:val="00AE47C0"/>
    <w:rsid w:val="00AE56D1"/>
    <w:rsid w:val="00AE610D"/>
    <w:rsid w:val="00AF0283"/>
    <w:rsid w:val="00AF7600"/>
    <w:rsid w:val="00B00761"/>
    <w:rsid w:val="00B00DEF"/>
    <w:rsid w:val="00B0375D"/>
    <w:rsid w:val="00B05CAF"/>
    <w:rsid w:val="00B10177"/>
    <w:rsid w:val="00B10281"/>
    <w:rsid w:val="00B13376"/>
    <w:rsid w:val="00B14757"/>
    <w:rsid w:val="00B17057"/>
    <w:rsid w:val="00B20BE2"/>
    <w:rsid w:val="00B227DC"/>
    <w:rsid w:val="00B249CA"/>
    <w:rsid w:val="00B26030"/>
    <w:rsid w:val="00B26F98"/>
    <w:rsid w:val="00B3064B"/>
    <w:rsid w:val="00B3430F"/>
    <w:rsid w:val="00B3487C"/>
    <w:rsid w:val="00B3534F"/>
    <w:rsid w:val="00B3615D"/>
    <w:rsid w:val="00B36227"/>
    <w:rsid w:val="00B40397"/>
    <w:rsid w:val="00B42CDE"/>
    <w:rsid w:val="00B439F8"/>
    <w:rsid w:val="00B43C88"/>
    <w:rsid w:val="00B447E1"/>
    <w:rsid w:val="00B51E7C"/>
    <w:rsid w:val="00B52A5A"/>
    <w:rsid w:val="00B54E82"/>
    <w:rsid w:val="00B56A3A"/>
    <w:rsid w:val="00B63DD8"/>
    <w:rsid w:val="00B65559"/>
    <w:rsid w:val="00B755FB"/>
    <w:rsid w:val="00B75B13"/>
    <w:rsid w:val="00B769E2"/>
    <w:rsid w:val="00B80599"/>
    <w:rsid w:val="00B81A14"/>
    <w:rsid w:val="00B86934"/>
    <w:rsid w:val="00B928BC"/>
    <w:rsid w:val="00B93421"/>
    <w:rsid w:val="00B94BB6"/>
    <w:rsid w:val="00B95DCA"/>
    <w:rsid w:val="00B964D0"/>
    <w:rsid w:val="00B972D5"/>
    <w:rsid w:val="00BA3E78"/>
    <w:rsid w:val="00BA572D"/>
    <w:rsid w:val="00BA5F9A"/>
    <w:rsid w:val="00BA64E1"/>
    <w:rsid w:val="00BA6872"/>
    <w:rsid w:val="00BA78C0"/>
    <w:rsid w:val="00BB3683"/>
    <w:rsid w:val="00BB38A9"/>
    <w:rsid w:val="00BB7D7B"/>
    <w:rsid w:val="00BC009D"/>
    <w:rsid w:val="00BC0F58"/>
    <w:rsid w:val="00BC37B1"/>
    <w:rsid w:val="00BC3AA2"/>
    <w:rsid w:val="00BC4A05"/>
    <w:rsid w:val="00BC4BCC"/>
    <w:rsid w:val="00BC5465"/>
    <w:rsid w:val="00BC7EBD"/>
    <w:rsid w:val="00BD0355"/>
    <w:rsid w:val="00BD1C1A"/>
    <w:rsid w:val="00BD6D49"/>
    <w:rsid w:val="00BE41F9"/>
    <w:rsid w:val="00BE5D64"/>
    <w:rsid w:val="00BF14EC"/>
    <w:rsid w:val="00BF1729"/>
    <w:rsid w:val="00BF40E0"/>
    <w:rsid w:val="00C00533"/>
    <w:rsid w:val="00C01A0A"/>
    <w:rsid w:val="00C02C06"/>
    <w:rsid w:val="00C0526E"/>
    <w:rsid w:val="00C077DF"/>
    <w:rsid w:val="00C13943"/>
    <w:rsid w:val="00C146DC"/>
    <w:rsid w:val="00C14AE1"/>
    <w:rsid w:val="00C164BE"/>
    <w:rsid w:val="00C16786"/>
    <w:rsid w:val="00C204BE"/>
    <w:rsid w:val="00C2261E"/>
    <w:rsid w:val="00C27E69"/>
    <w:rsid w:val="00C3004A"/>
    <w:rsid w:val="00C30CC6"/>
    <w:rsid w:val="00C30FE5"/>
    <w:rsid w:val="00C34227"/>
    <w:rsid w:val="00C35A28"/>
    <w:rsid w:val="00C3649F"/>
    <w:rsid w:val="00C4026E"/>
    <w:rsid w:val="00C4187A"/>
    <w:rsid w:val="00C41A79"/>
    <w:rsid w:val="00C55516"/>
    <w:rsid w:val="00C55643"/>
    <w:rsid w:val="00C5615D"/>
    <w:rsid w:val="00C575DA"/>
    <w:rsid w:val="00C60289"/>
    <w:rsid w:val="00C605B1"/>
    <w:rsid w:val="00C61702"/>
    <w:rsid w:val="00C70438"/>
    <w:rsid w:val="00C7064B"/>
    <w:rsid w:val="00C73705"/>
    <w:rsid w:val="00C749EE"/>
    <w:rsid w:val="00C74AAC"/>
    <w:rsid w:val="00C75625"/>
    <w:rsid w:val="00C847F5"/>
    <w:rsid w:val="00C84A8D"/>
    <w:rsid w:val="00C87AC3"/>
    <w:rsid w:val="00C965FF"/>
    <w:rsid w:val="00C973E7"/>
    <w:rsid w:val="00CA143E"/>
    <w:rsid w:val="00CA19E4"/>
    <w:rsid w:val="00CA1D9F"/>
    <w:rsid w:val="00CA29E8"/>
    <w:rsid w:val="00CA393B"/>
    <w:rsid w:val="00CA42A1"/>
    <w:rsid w:val="00CA5702"/>
    <w:rsid w:val="00CA5E95"/>
    <w:rsid w:val="00CA7515"/>
    <w:rsid w:val="00CB19CC"/>
    <w:rsid w:val="00CB37CB"/>
    <w:rsid w:val="00CB675D"/>
    <w:rsid w:val="00CC1B32"/>
    <w:rsid w:val="00CC1DEB"/>
    <w:rsid w:val="00CC22D7"/>
    <w:rsid w:val="00CC2DD6"/>
    <w:rsid w:val="00CC5A12"/>
    <w:rsid w:val="00CC694C"/>
    <w:rsid w:val="00CC6A5B"/>
    <w:rsid w:val="00CD32D3"/>
    <w:rsid w:val="00CD342A"/>
    <w:rsid w:val="00CD5120"/>
    <w:rsid w:val="00CD55FC"/>
    <w:rsid w:val="00CD57A3"/>
    <w:rsid w:val="00CD65BD"/>
    <w:rsid w:val="00CD6F53"/>
    <w:rsid w:val="00CE1123"/>
    <w:rsid w:val="00CE1701"/>
    <w:rsid w:val="00CE227C"/>
    <w:rsid w:val="00CE3AAF"/>
    <w:rsid w:val="00CE596B"/>
    <w:rsid w:val="00CF26D5"/>
    <w:rsid w:val="00CF2A87"/>
    <w:rsid w:val="00CF2EB7"/>
    <w:rsid w:val="00CF5FEC"/>
    <w:rsid w:val="00CF621D"/>
    <w:rsid w:val="00D00931"/>
    <w:rsid w:val="00D03D93"/>
    <w:rsid w:val="00D0442B"/>
    <w:rsid w:val="00D17798"/>
    <w:rsid w:val="00D17C8D"/>
    <w:rsid w:val="00D20B13"/>
    <w:rsid w:val="00D210EB"/>
    <w:rsid w:val="00D244A7"/>
    <w:rsid w:val="00D2560C"/>
    <w:rsid w:val="00D25866"/>
    <w:rsid w:val="00D3080F"/>
    <w:rsid w:val="00D330F5"/>
    <w:rsid w:val="00D35411"/>
    <w:rsid w:val="00D374FA"/>
    <w:rsid w:val="00D405DB"/>
    <w:rsid w:val="00D40ED4"/>
    <w:rsid w:val="00D41DA9"/>
    <w:rsid w:val="00D44DCE"/>
    <w:rsid w:val="00D46E31"/>
    <w:rsid w:val="00D47737"/>
    <w:rsid w:val="00D5099E"/>
    <w:rsid w:val="00D50F7C"/>
    <w:rsid w:val="00D5105B"/>
    <w:rsid w:val="00D51963"/>
    <w:rsid w:val="00D54D67"/>
    <w:rsid w:val="00D60241"/>
    <w:rsid w:val="00D613C2"/>
    <w:rsid w:val="00D61DFF"/>
    <w:rsid w:val="00D668A1"/>
    <w:rsid w:val="00D67963"/>
    <w:rsid w:val="00D7120D"/>
    <w:rsid w:val="00D762D9"/>
    <w:rsid w:val="00D815A2"/>
    <w:rsid w:val="00D81DB0"/>
    <w:rsid w:val="00D827D3"/>
    <w:rsid w:val="00D84672"/>
    <w:rsid w:val="00D84C29"/>
    <w:rsid w:val="00D87105"/>
    <w:rsid w:val="00D95E5A"/>
    <w:rsid w:val="00D97EC7"/>
    <w:rsid w:val="00DA6E60"/>
    <w:rsid w:val="00DB1F53"/>
    <w:rsid w:val="00DB3826"/>
    <w:rsid w:val="00DC0787"/>
    <w:rsid w:val="00DC338D"/>
    <w:rsid w:val="00DC3419"/>
    <w:rsid w:val="00DD0681"/>
    <w:rsid w:val="00DD698D"/>
    <w:rsid w:val="00DD7239"/>
    <w:rsid w:val="00DD7713"/>
    <w:rsid w:val="00DD7F17"/>
    <w:rsid w:val="00DE0DF8"/>
    <w:rsid w:val="00DE23F7"/>
    <w:rsid w:val="00DE64A7"/>
    <w:rsid w:val="00DE65DA"/>
    <w:rsid w:val="00E05B82"/>
    <w:rsid w:val="00E13F4A"/>
    <w:rsid w:val="00E16454"/>
    <w:rsid w:val="00E2582F"/>
    <w:rsid w:val="00E25A3F"/>
    <w:rsid w:val="00E2672C"/>
    <w:rsid w:val="00E30BD9"/>
    <w:rsid w:val="00E31903"/>
    <w:rsid w:val="00E32B20"/>
    <w:rsid w:val="00E343E3"/>
    <w:rsid w:val="00E346C3"/>
    <w:rsid w:val="00E36958"/>
    <w:rsid w:val="00E36B11"/>
    <w:rsid w:val="00E3701C"/>
    <w:rsid w:val="00E375B8"/>
    <w:rsid w:val="00E50F7C"/>
    <w:rsid w:val="00E60A83"/>
    <w:rsid w:val="00E62C2B"/>
    <w:rsid w:val="00E62D4E"/>
    <w:rsid w:val="00E63987"/>
    <w:rsid w:val="00E64549"/>
    <w:rsid w:val="00E6514D"/>
    <w:rsid w:val="00E669DD"/>
    <w:rsid w:val="00E6703B"/>
    <w:rsid w:val="00E709C4"/>
    <w:rsid w:val="00E72D5D"/>
    <w:rsid w:val="00E7338F"/>
    <w:rsid w:val="00E74292"/>
    <w:rsid w:val="00E74B3A"/>
    <w:rsid w:val="00E80113"/>
    <w:rsid w:val="00E83592"/>
    <w:rsid w:val="00E84ACB"/>
    <w:rsid w:val="00E85DE8"/>
    <w:rsid w:val="00E914B3"/>
    <w:rsid w:val="00E94637"/>
    <w:rsid w:val="00E96C6E"/>
    <w:rsid w:val="00EA1AE1"/>
    <w:rsid w:val="00EB12AF"/>
    <w:rsid w:val="00EB31B7"/>
    <w:rsid w:val="00EB4947"/>
    <w:rsid w:val="00EB5DF1"/>
    <w:rsid w:val="00EB61C8"/>
    <w:rsid w:val="00EC180F"/>
    <w:rsid w:val="00EC2736"/>
    <w:rsid w:val="00EC73C5"/>
    <w:rsid w:val="00ED277E"/>
    <w:rsid w:val="00ED2F56"/>
    <w:rsid w:val="00ED2F98"/>
    <w:rsid w:val="00ED3F73"/>
    <w:rsid w:val="00ED63EB"/>
    <w:rsid w:val="00EE18AC"/>
    <w:rsid w:val="00EE2A4B"/>
    <w:rsid w:val="00EE307B"/>
    <w:rsid w:val="00EE67CA"/>
    <w:rsid w:val="00EF0297"/>
    <w:rsid w:val="00EF1DF4"/>
    <w:rsid w:val="00EF3A12"/>
    <w:rsid w:val="00EF658C"/>
    <w:rsid w:val="00EF7E38"/>
    <w:rsid w:val="00F02496"/>
    <w:rsid w:val="00F037F4"/>
    <w:rsid w:val="00F06A5C"/>
    <w:rsid w:val="00F1695A"/>
    <w:rsid w:val="00F17738"/>
    <w:rsid w:val="00F30D1F"/>
    <w:rsid w:val="00F32ACE"/>
    <w:rsid w:val="00F33550"/>
    <w:rsid w:val="00F40068"/>
    <w:rsid w:val="00F403C8"/>
    <w:rsid w:val="00F40AC1"/>
    <w:rsid w:val="00F4287F"/>
    <w:rsid w:val="00F44FA0"/>
    <w:rsid w:val="00F457C5"/>
    <w:rsid w:val="00F45DC6"/>
    <w:rsid w:val="00F461E4"/>
    <w:rsid w:val="00F4758C"/>
    <w:rsid w:val="00F54B8A"/>
    <w:rsid w:val="00F56556"/>
    <w:rsid w:val="00F56A4B"/>
    <w:rsid w:val="00F56B0B"/>
    <w:rsid w:val="00F56FDB"/>
    <w:rsid w:val="00F612CD"/>
    <w:rsid w:val="00F61D98"/>
    <w:rsid w:val="00F61EC2"/>
    <w:rsid w:val="00F6337D"/>
    <w:rsid w:val="00F63415"/>
    <w:rsid w:val="00F6523A"/>
    <w:rsid w:val="00F67F32"/>
    <w:rsid w:val="00F7058C"/>
    <w:rsid w:val="00F7290F"/>
    <w:rsid w:val="00F738F8"/>
    <w:rsid w:val="00F775C2"/>
    <w:rsid w:val="00F84EC8"/>
    <w:rsid w:val="00F87822"/>
    <w:rsid w:val="00F942C1"/>
    <w:rsid w:val="00FA275B"/>
    <w:rsid w:val="00FA2D52"/>
    <w:rsid w:val="00FA384C"/>
    <w:rsid w:val="00FA7B5A"/>
    <w:rsid w:val="00FB0070"/>
    <w:rsid w:val="00FB1D0E"/>
    <w:rsid w:val="00FB25D1"/>
    <w:rsid w:val="00FB3627"/>
    <w:rsid w:val="00FC0E7F"/>
    <w:rsid w:val="00FC13A5"/>
    <w:rsid w:val="00FC1521"/>
    <w:rsid w:val="00FD03B7"/>
    <w:rsid w:val="00FD0CC9"/>
    <w:rsid w:val="00FD1464"/>
    <w:rsid w:val="00FD49B1"/>
    <w:rsid w:val="00FD4BAD"/>
    <w:rsid w:val="00FD67AB"/>
    <w:rsid w:val="00FE2F6E"/>
    <w:rsid w:val="00FE5B41"/>
    <w:rsid w:val="00FF1153"/>
    <w:rsid w:val="00FF15A4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C53D8"/>
  <w15:docId w15:val="{183923E4-EFFF-49A0-AB90-18ED9E1F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ind w:right="1208"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CB"/>
    <w:pPr>
      <w:ind w:firstLine="17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9FA"/>
    <w:pPr>
      <w:keepNext/>
      <w:keepLines/>
      <w:spacing w:before="40"/>
      <w:ind w:righ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9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en-GB"/>
    </w:rPr>
  </w:style>
  <w:style w:type="character" w:styleId="Hyperlink">
    <w:name w:val="Hyperlink"/>
    <w:basedOn w:val="DefaultParagraphFont"/>
    <w:uiPriority w:val="99"/>
    <w:unhideWhenUsed/>
    <w:rsid w:val="009369FA"/>
    <w:rPr>
      <w:color w:val="0000FF"/>
      <w:u w:val="single"/>
    </w:rPr>
  </w:style>
  <w:style w:type="paragraph" w:styleId="NormalWeb">
    <w:name w:val="Normal (Web)"/>
    <w:basedOn w:val="Normal"/>
    <w:uiPriority w:val="99"/>
    <w:rsid w:val="009369FA"/>
    <w:pPr>
      <w:spacing w:before="100" w:beforeAutospacing="1" w:after="100" w:afterAutospacing="1"/>
      <w:ind w:right="0" w:firstLine="0"/>
    </w:pPr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BasicParagraph">
    <w:name w:val="[Basic Paragraph]"/>
    <w:basedOn w:val="Normal"/>
    <w:uiPriority w:val="99"/>
    <w:rsid w:val="009369FA"/>
    <w:pPr>
      <w:autoSpaceDE w:val="0"/>
      <w:autoSpaceDN w:val="0"/>
      <w:bidi/>
      <w:adjustRightInd w:val="0"/>
      <w:spacing w:line="288" w:lineRule="auto"/>
      <w:ind w:right="0" w:firstLine="0"/>
      <w:textAlignment w:val="center"/>
    </w:pPr>
    <w:rPr>
      <w:rFonts w:ascii="Adobe Arabic" w:hAnsi="Adobe Arabic" w:cs="Adobe Arabic"/>
      <w:color w:val="000000"/>
      <w:sz w:val="24"/>
      <w:szCs w:val="24"/>
      <w:lang w:val="en-US" w:bidi="ar-YE"/>
    </w:rPr>
  </w:style>
  <w:style w:type="character" w:styleId="Strong">
    <w:name w:val="Strong"/>
    <w:basedOn w:val="DefaultParagraphFont"/>
    <w:uiPriority w:val="22"/>
    <w:qFormat/>
    <w:rsid w:val="009369FA"/>
    <w:rPr>
      <w:b/>
      <w:bCs/>
    </w:rPr>
  </w:style>
  <w:style w:type="paragraph" w:styleId="ListParagraph">
    <w:name w:val="List Paragraph"/>
    <w:basedOn w:val="Normal"/>
    <w:uiPriority w:val="34"/>
    <w:qFormat/>
    <w:rsid w:val="000A0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5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3A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507F"/>
    <w:pPr>
      <w:ind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4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0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70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3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4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72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381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1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83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novelat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tact@novelato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info@novel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Waysman</dc:creator>
  <cp:keywords/>
  <dc:description/>
  <cp:lastModifiedBy>Dan Waysman</cp:lastModifiedBy>
  <cp:revision>11</cp:revision>
  <dcterms:created xsi:type="dcterms:W3CDTF">2016-05-30T09:37:00Z</dcterms:created>
  <dcterms:modified xsi:type="dcterms:W3CDTF">2018-02-22T09:12:00Z</dcterms:modified>
</cp:coreProperties>
</file>