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E" w:rsidRPr="00A50A2B" w:rsidRDefault="00136950" w:rsidP="00DB47EE">
      <w:pPr>
        <w:rPr>
          <w:rFonts w:asciiTheme="minorHAnsi" w:hAnsiTheme="minorHAnsi" w:cs="Arial"/>
          <w:b/>
          <w:bCs/>
          <w:color w:val="2E74B5" w:themeColor="accent1" w:themeShade="BF"/>
        </w:rPr>
      </w:pPr>
      <w:r w:rsidRPr="00A50A2B">
        <w:rPr>
          <w:rFonts w:asciiTheme="minorHAnsi" w:hAnsiTheme="minorHAnsi" w:cs="Arial"/>
          <w:b/>
          <w:bCs/>
          <w:color w:val="2E74B5" w:themeColor="accent1" w:themeShade="BF"/>
        </w:rPr>
        <w:t>Notre vocation</w:t>
      </w:r>
      <w:r w:rsidR="00D53C06" w:rsidRPr="00A50A2B">
        <w:rPr>
          <w:rFonts w:asciiTheme="minorHAnsi" w:hAnsiTheme="minorHAnsi" w:cs="Arial"/>
          <w:b/>
          <w:bCs/>
          <w:color w:val="2E74B5" w:themeColor="accent1" w:themeShade="BF"/>
        </w:rPr>
        <w:t xml:space="preserve"> : </w:t>
      </w:r>
    </w:p>
    <w:p w:rsidR="00136950" w:rsidRPr="00A50A2B" w:rsidRDefault="00136950" w:rsidP="00832810">
      <w:pPr>
        <w:jc w:val="center"/>
        <w:rPr>
          <w:rFonts w:asciiTheme="minorHAnsi" w:hAnsiTheme="minorHAnsi" w:cs="Arial"/>
          <w:b/>
          <w:bCs/>
          <w:color w:val="2E74B5" w:themeColor="accent1" w:themeShade="BF"/>
        </w:rPr>
      </w:pPr>
      <w:r w:rsidRPr="00A50A2B">
        <w:rPr>
          <w:rFonts w:asciiTheme="minorHAnsi" w:hAnsiTheme="minorHAnsi" w:cs="Arial"/>
          <w:b/>
          <w:bCs/>
          <w:color w:val="2E74B5" w:themeColor="accent1" w:themeShade="BF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d’accompagnement du changement. 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</w:t>
      </w:r>
      <w:r w:rsidRPr="00565CA0">
        <w:rPr>
          <w:rFonts w:asciiTheme="minorHAnsi" w:hAnsiTheme="minorHAnsi" w:cs="Calibri"/>
          <w:b/>
          <w:color w:val="44546A" w:themeColor="text2"/>
        </w:rPr>
        <w:t>management de la santé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>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</w:t>
      </w:r>
      <w:r w:rsidR="001860C7">
        <w:rPr>
          <w:rFonts w:asciiTheme="minorHAnsi" w:hAnsiTheme="minorHAnsi" w:cs="Calibri"/>
          <w:color w:val="44546A" w:themeColor="text2"/>
          <w:sz w:val="20"/>
          <w:szCs w:val="20"/>
        </w:rPr>
        <w:t>osture managériale leur permetta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>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A50A2B" w:rsidRDefault="00D53C06" w:rsidP="00DB47EE">
      <w:pPr>
        <w:rPr>
          <w:rFonts w:asciiTheme="minorHAnsi" w:hAnsiTheme="minorHAnsi" w:cs="Calibri"/>
          <w:b/>
          <w:color w:val="2E74B5" w:themeColor="accent1" w:themeShade="BF"/>
          <w:sz w:val="16"/>
          <w:szCs w:val="16"/>
        </w:rPr>
      </w:pPr>
      <w:r w:rsidRPr="00A50A2B">
        <w:rPr>
          <w:rFonts w:asciiTheme="minorHAnsi" w:hAnsiTheme="minorHAnsi" w:cs="Calibri"/>
          <w:b/>
          <w:color w:val="2E74B5" w:themeColor="accent1" w:themeShade="BF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565CA0">
        <w:rPr>
          <w:rFonts w:asciiTheme="minorHAnsi" w:eastAsia="Calibri" w:hAnsiTheme="minorHAnsi" w:cs="Arial"/>
          <w:b/>
          <w:color w:val="44546A" w:themeColor="text2"/>
        </w:rPr>
        <w:t>Faire travailler les équipes en présence en harmonie</w:t>
      </w: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565CA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</w:rPr>
      </w:pPr>
      <w:r w:rsidRPr="00565CA0">
        <w:rPr>
          <w:rFonts w:asciiTheme="minorHAnsi" w:eastAsia="Calibri" w:hAnsiTheme="minorHAnsi" w:cs="Calibri"/>
          <w:b/>
          <w:color w:val="44546A" w:themeColor="text2"/>
        </w:rPr>
        <w:t xml:space="preserve"> Aider les collaborateurs à gérer le stress lié à des cont</w:t>
      </w:r>
      <w:r w:rsidR="00D53C06" w:rsidRPr="00565CA0">
        <w:rPr>
          <w:rFonts w:asciiTheme="minorHAnsi" w:eastAsia="Calibri" w:hAnsiTheme="minorHAnsi" w:cs="Calibri"/>
          <w:b/>
          <w:color w:val="44546A" w:themeColor="text2"/>
        </w:rPr>
        <w:t xml:space="preserve">raintes  environnementales et </w:t>
      </w:r>
      <w:r w:rsidRPr="00565CA0">
        <w:rPr>
          <w:rFonts w:asciiTheme="minorHAnsi" w:eastAsia="Calibri" w:hAnsiTheme="minorHAnsi" w:cs="Calibri"/>
          <w:b/>
          <w:color w:val="44546A" w:themeColor="text2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A50A2B" w:rsidRDefault="00562381" w:rsidP="00DB47EE">
      <w:pPr>
        <w:rPr>
          <w:rFonts w:asciiTheme="minorHAnsi" w:hAnsiTheme="minorHAnsi" w:cs="Arial"/>
          <w:b/>
          <w:color w:val="2E74B5" w:themeColor="accent1" w:themeShade="BF"/>
          <w:sz w:val="16"/>
          <w:szCs w:val="16"/>
        </w:rPr>
      </w:pPr>
      <w:r w:rsidRPr="00A50A2B">
        <w:rPr>
          <w:rFonts w:asciiTheme="minorHAnsi" w:hAnsiTheme="minorHAnsi" w:cs="Arial"/>
          <w:b/>
          <w:color w:val="2E74B5" w:themeColor="accent1" w:themeShade="BF"/>
        </w:rPr>
        <w:t>Notre méthodologie</w:t>
      </w:r>
      <w:r w:rsidR="00050103" w:rsidRPr="00A50A2B">
        <w:rPr>
          <w:rFonts w:asciiTheme="minorHAnsi" w:hAnsiTheme="minorHAnsi" w:cs="Arial"/>
          <w:b/>
          <w:color w:val="2E74B5" w:themeColor="accent1" w:themeShade="BF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F90BB5" w:rsidRPr="00A11FD6" w:rsidRDefault="00F90BB5" w:rsidP="00A11FD6">
      <w:pPr>
        <w:spacing w:after="160" w:line="259" w:lineRule="auto"/>
        <w:rPr>
          <w:rFonts w:asciiTheme="minorHAnsi" w:hAnsiTheme="minorHAnsi"/>
          <w:color w:val="44546A" w:themeColor="text2"/>
          <w:sz w:val="20"/>
          <w:szCs w:val="20"/>
        </w:rPr>
      </w:pPr>
      <w:bookmarkStart w:id="0" w:name="_GoBack"/>
      <w:bookmarkEnd w:id="0"/>
    </w:p>
    <w:sectPr w:rsidR="00F90BB5" w:rsidRPr="00A11FD6" w:rsidSect="00773593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BD" w:rsidRDefault="00B627BD" w:rsidP="005405EA">
      <w:r>
        <w:separator/>
      </w:r>
    </w:p>
  </w:endnote>
  <w:endnote w:type="continuationSeparator" w:id="0">
    <w:p w:rsidR="00B627BD" w:rsidRDefault="00B627BD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2B" w:rsidRPr="00A50A2B" w:rsidRDefault="00A50A2B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BA35B1" w:rsidRPr="00C17199" w:rsidRDefault="00A50A2B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BD" w:rsidRDefault="00B627BD" w:rsidP="005405EA">
      <w:r>
        <w:separator/>
      </w:r>
    </w:p>
  </w:footnote>
  <w:footnote w:type="continuationSeparator" w:id="0">
    <w:p w:rsidR="00B627BD" w:rsidRDefault="00B627BD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2B" w:rsidRDefault="008D6720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 wp14:anchorId="4024E713" wp14:editId="62C19CB1">
          <wp:simplePos x="0" y="0"/>
          <wp:positionH relativeFrom="column">
            <wp:posOffset>-403225</wp:posOffset>
          </wp:positionH>
          <wp:positionV relativeFrom="paragraph">
            <wp:posOffset>-153670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0C7" w:rsidRDefault="001860C7" w:rsidP="001860C7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</w:p>
  <w:p w:rsidR="00C17199" w:rsidRDefault="00C17199" w:rsidP="001860C7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1860C7">
    <w:pPr>
      <w:ind w:left="-720"/>
      <w:jc w:val="right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31581"/>
    <w:rsid w:val="00050103"/>
    <w:rsid w:val="00050E2F"/>
    <w:rsid w:val="00076D52"/>
    <w:rsid w:val="00084B7B"/>
    <w:rsid w:val="000934C2"/>
    <w:rsid w:val="000E3DAD"/>
    <w:rsid w:val="00101F6E"/>
    <w:rsid w:val="00136950"/>
    <w:rsid w:val="00172962"/>
    <w:rsid w:val="00177FB5"/>
    <w:rsid w:val="00185917"/>
    <w:rsid w:val="001860C7"/>
    <w:rsid w:val="001A5844"/>
    <w:rsid w:val="001C3AA3"/>
    <w:rsid w:val="0022776E"/>
    <w:rsid w:val="00257348"/>
    <w:rsid w:val="0033157E"/>
    <w:rsid w:val="00341370"/>
    <w:rsid w:val="003932A3"/>
    <w:rsid w:val="003D7BE6"/>
    <w:rsid w:val="004040C7"/>
    <w:rsid w:val="0044636B"/>
    <w:rsid w:val="00464D0C"/>
    <w:rsid w:val="004873B5"/>
    <w:rsid w:val="004B55E8"/>
    <w:rsid w:val="004B585A"/>
    <w:rsid w:val="004D536B"/>
    <w:rsid w:val="004F23BA"/>
    <w:rsid w:val="005241A0"/>
    <w:rsid w:val="005314B5"/>
    <w:rsid w:val="005405EA"/>
    <w:rsid w:val="00544E27"/>
    <w:rsid w:val="005543DB"/>
    <w:rsid w:val="00562381"/>
    <w:rsid w:val="00565CA0"/>
    <w:rsid w:val="0057347B"/>
    <w:rsid w:val="005834A2"/>
    <w:rsid w:val="00590C9B"/>
    <w:rsid w:val="005A7F6D"/>
    <w:rsid w:val="00607413"/>
    <w:rsid w:val="006159E5"/>
    <w:rsid w:val="00694E53"/>
    <w:rsid w:val="006B2F58"/>
    <w:rsid w:val="0070109C"/>
    <w:rsid w:val="00773593"/>
    <w:rsid w:val="00832810"/>
    <w:rsid w:val="0083796F"/>
    <w:rsid w:val="008C64C1"/>
    <w:rsid w:val="008D035F"/>
    <w:rsid w:val="008D6720"/>
    <w:rsid w:val="00922B0C"/>
    <w:rsid w:val="009B6803"/>
    <w:rsid w:val="009C0AFE"/>
    <w:rsid w:val="009E0C19"/>
    <w:rsid w:val="00A11FD6"/>
    <w:rsid w:val="00A16E7C"/>
    <w:rsid w:val="00A50A2B"/>
    <w:rsid w:val="00A715B7"/>
    <w:rsid w:val="00AB479B"/>
    <w:rsid w:val="00B05DF0"/>
    <w:rsid w:val="00B21149"/>
    <w:rsid w:val="00B47762"/>
    <w:rsid w:val="00B627BD"/>
    <w:rsid w:val="00B94468"/>
    <w:rsid w:val="00BA35B1"/>
    <w:rsid w:val="00BC7993"/>
    <w:rsid w:val="00BE24B9"/>
    <w:rsid w:val="00C134F8"/>
    <w:rsid w:val="00C150B2"/>
    <w:rsid w:val="00C17199"/>
    <w:rsid w:val="00C30364"/>
    <w:rsid w:val="00C7717C"/>
    <w:rsid w:val="00CE691D"/>
    <w:rsid w:val="00D53C06"/>
    <w:rsid w:val="00D61BCA"/>
    <w:rsid w:val="00D65BC7"/>
    <w:rsid w:val="00D77A74"/>
    <w:rsid w:val="00D80206"/>
    <w:rsid w:val="00D8593E"/>
    <w:rsid w:val="00D93B03"/>
    <w:rsid w:val="00DB3DDE"/>
    <w:rsid w:val="00DB47EE"/>
    <w:rsid w:val="00DC1008"/>
    <w:rsid w:val="00DF7F63"/>
    <w:rsid w:val="00E045BC"/>
    <w:rsid w:val="00E114DC"/>
    <w:rsid w:val="00EB11EB"/>
    <w:rsid w:val="00EE2A4C"/>
    <w:rsid w:val="00F3611D"/>
    <w:rsid w:val="00F55F57"/>
    <w:rsid w:val="00F87496"/>
    <w:rsid w:val="00F90BB5"/>
    <w:rsid w:val="00F9121A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0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0B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B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90BB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0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0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0B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B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90BB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4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816">
              <w:marLeft w:val="0"/>
              <w:marRight w:val="0"/>
              <w:marTop w:val="300"/>
              <w:marBottom w:val="300"/>
              <w:divBdr>
                <w:top w:val="single" w:sz="6" w:space="14" w:color="ECECEC"/>
                <w:left w:val="single" w:sz="6" w:space="11" w:color="ECECEC"/>
                <w:bottom w:val="single" w:sz="6" w:space="8" w:color="ECECEC"/>
                <w:right w:val="single" w:sz="6" w:space="11" w:color="ECECEC"/>
              </w:divBdr>
            </w:div>
          </w:divsChild>
        </w:div>
      </w:divsChild>
    </w:div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3</cp:revision>
  <dcterms:created xsi:type="dcterms:W3CDTF">2016-04-29T10:31:00Z</dcterms:created>
  <dcterms:modified xsi:type="dcterms:W3CDTF">2016-04-29T10:34:00Z</dcterms:modified>
</cp:coreProperties>
</file>