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1F2813" w:rsidRDefault="001F2813"/>
    <w:p w:rsidR="001F2813" w:rsidRDefault="001F2813"/>
    <w:p w:rsidR="001F2813" w:rsidRDefault="001F2813">
      <w:r>
        <w:t>SARK, Iles anglo-normandes--(BUSINESS WIRE)--L'organisation Family Office, dont le siège se trouve à Sark, dans les îles anglo-normandes vient de publier la 3e édition de la “base de données 3300 globale Family Office 2008”, comportant 1.800 entrées des Etats-Unis et 1.240 d'Europe, avec</w:t>
      </w:r>
      <w:r w:rsidR="00413C66">
        <w:t xml:space="preserve"> </w:t>
      </w:r>
      <w:r>
        <w:t xml:space="preserve">les coordonnées correspondantes.. Le patrimoine géré de la majorité des Family Offices figurant sur cette liste est supérieur à 100 millions - 100milliards d'USD. Ces rapports approfondis fournissent des détails précieux au sujet des modes d'investissement des très grandes fortunes: le nom des </w:t>
      </w:r>
      <w:proofErr w:type="spellStart"/>
      <w:r>
        <w:t>Chief</w:t>
      </w:r>
      <w:proofErr w:type="spellEnd"/>
      <w:r>
        <w:t xml:space="preserve"> Investment </w:t>
      </w:r>
      <w:proofErr w:type="spellStart"/>
      <w:r>
        <w:t>Officers</w:t>
      </w:r>
      <w:proofErr w:type="spellEnd"/>
      <w:r>
        <w:t>, leur adresse postale complète, leur adresse email et beaucoup d'autres détails.</w:t>
      </w:r>
    </w:p>
    <w:sectPr w:rsidR="001F2813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F2813"/>
    <w:rsid w:val="00175695"/>
    <w:rsid w:val="001A4A40"/>
    <w:rsid w:val="001F2813"/>
    <w:rsid w:val="00413C66"/>
    <w:rsid w:val="00896E5A"/>
    <w:rsid w:val="009651D4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dcterms:created xsi:type="dcterms:W3CDTF">2011-01-18T08:24:00Z</dcterms:created>
  <dcterms:modified xsi:type="dcterms:W3CDTF">2011-01-18T18:15:00Z</dcterms:modified>
</cp:coreProperties>
</file>