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75" w:rsidRDefault="001F7375" w:rsidP="001F7375">
      <w:pPr>
        <w:widowControl w:val="0"/>
        <w:spacing w:after="40"/>
        <w:jc w:val="center"/>
        <w:rPr>
          <w:rFonts w:asciiTheme="majorHAnsi" w:eastAsia="Lato" w:hAnsiTheme="majorHAnsi" w:cstheme="majorHAnsi"/>
          <w:b/>
          <w:sz w:val="28"/>
          <w:szCs w:val="28"/>
        </w:rPr>
      </w:pPr>
      <w:r w:rsidRPr="001F7375">
        <w:rPr>
          <w:rFonts w:asciiTheme="majorHAnsi" w:eastAsia="Lato" w:hAnsiTheme="majorHAnsi" w:cstheme="majorHAnsi"/>
          <w:b/>
          <w:sz w:val="28"/>
          <w:szCs w:val="28"/>
        </w:rPr>
        <w:t xml:space="preserve">Les Bilans de Compétence </w:t>
      </w:r>
      <w:r>
        <w:rPr>
          <w:rFonts w:asciiTheme="majorHAnsi" w:eastAsia="Lato" w:hAnsiTheme="majorHAnsi" w:cstheme="majorHAnsi"/>
          <w:b/>
          <w:sz w:val="28"/>
          <w:szCs w:val="28"/>
        </w:rPr>
        <w:t>délivrés par notre organisation</w:t>
      </w:r>
    </w:p>
    <w:p w:rsidR="001F7375" w:rsidRPr="001F7375" w:rsidRDefault="001F7375" w:rsidP="001F7375">
      <w:pPr>
        <w:widowControl w:val="0"/>
        <w:spacing w:after="40"/>
        <w:jc w:val="center"/>
        <w:rPr>
          <w:rFonts w:asciiTheme="majorHAnsi" w:eastAsia="Lato" w:hAnsiTheme="majorHAnsi" w:cstheme="majorHAnsi"/>
          <w:b/>
          <w:sz w:val="28"/>
          <w:szCs w:val="28"/>
        </w:rPr>
      </w:pPr>
      <w:proofErr w:type="gramStart"/>
      <w:r w:rsidRPr="001F7375">
        <w:rPr>
          <w:rFonts w:asciiTheme="majorHAnsi" w:eastAsia="Lato" w:hAnsiTheme="majorHAnsi" w:cstheme="majorHAnsi"/>
          <w:b/>
          <w:sz w:val="28"/>
          <w:szCs w:val="28"/>
        </w:rPr>
        <w:t>suivent</w:t>
      </w:r>
      <w:proofErr w:type="gramEnd"/>
      <w:r w:rsidRPr="001F7375">
        <w:rPr>
          <w:rFonts w:asciiTheme="majorHAnsi" w:eastAsia="Lato" w:hAnsiTheme="majorHAnsi" w:cstheme="majorHAnsi"/>
          <w:b/>
          <w:sz w:val="28"/>
          <w:szCs w:val="28"/>
        </w:rPr>
        <w:t xml:space="preserve"> le cadre légal établi</w:t>
      </w:r>
    </w:p>
    <w:p w:rsidR="001F7375" w:rsidRDefault="001F7375" w:rsidP="001F7375">
      <w:pPr>
        <w:widowControl w:val="0"/>
        <w:spacing w:after="40"/>
        <w:rPr>
          <w:rFonts w:ascii="Lato" w:eastAsia="Lato" w:hAnsi="Lato" w:cs="Lato"/>
        </w:rPr>
      </w:pPr>
    </w:p>
    <w:p w:rsidR="001F7375" w:rsidRDefault="001F7375" w:rsidP="001F7375">
      <w:pPr>
        <w:widowControl w:val="0"/>
        <w:numPr>
          <w:ilvl w:val="0"/>
          <w:numId w:val="3"/>
        </w:numPr>
        <w:rPr>
          <w:rFonts w:ascii="Lato" w:eastAsia="Lato" w:hAnsi="Lato" w:cs="Lato"/>
        </w:rPr>
      </w:pPr>
      <w:r>
        <w:rPr>
          <w:rFonts w:ascii="Lato" w:eastAsia="Lato" w:hAnsi="Lato" w:cs="Lato"/>
        </w:rPr>
        <w:t>Articles L. 1233.71, L. 6313-1, L. 6313-4 et R. 6313-4 à R. 6313-8 du Code du travail.</w:t>
      </w:r>
    </w:p>
    <w:p w:rsidR="001F7375" w:rsidRDefault="001F7375" w:rsidP="001F7375">
      <w:pPr>
        <w:widowControl w:val="0"/>
        <w:numPr>
          <w:ilvl w:val="0"/>
          <w:numId w:val="3"/>
        </w:numPr>
        <w:rPr>
          <w:rFonts w:ascii="Lato" w:eastAsia="Lato" w:hAnsi="Lato" w:cs="Lato"/>
        </w:rPr>
      </w:pPr>
      <w:r>
        <w:rPr>
          <w:rFonts w:ascii="Lato" w:eastAsia="Lato" w:hAnsi="Lato" w:cs="Lato"/>
        </w:rPr>
        <w:t>Arrêté du 31 juillet 2009 relatif au bilan de compétences des agents de l’État</w:t>
      </w:r>
    </w:p>
    <w:p w:rsidR="001F7375" w:rsidRDefault="001F7375" w:rsidP="001F7375">
      <w:pPr>
        <w:widowControl w:val="0"/>
        <w:numPr>
          <w:ilvl w:val="0"/>
          <w:numId w:val="3"/>
        </w:numPr>
        <w:rPr>
          <w:rFonts w:ascii="Lato" w:eastAsia="Lato" w:hAnsi="Lato" w:cs="Lato"/>
        </w:rPr>
      </w:pPr>
      <w:r>
        <w:rPr>
          <w:rFonts w:ascii="Lato" w:eastAsia="Lato" w:hAnsi="Lato" w:cs="Lato"/>
        </w:rPr>
        <w:t>LOI n° 2018-771 du 5 septembre 2018 pour la liberté de choisir son avenir professionnel</w:t>
      </w:r>
    </w:p>
    <w:p w:rsidR="001F7375" w:rsidRDefault="001F7375" w:rsidP="001F7375">
      <w:pPr>
        <w:widowControl w:val="0"/>
        <w:numPr>
          <w:ilvl w:val="0"/>
          <w:numId w:val="3"/>
        </w:numPr>
        <w:spacing w:after="40"/>
        <w:rPr>
          <w:rFonts w:ascii="Lato" w:eastAsia="Lato" w:hAnsi="Lato" w:cs="Lato"/>
        </w:rPr>
      </w:pPr>
      <w:r>
        <w:rPr>
          <w:rFonts w:ascii="Lato" w:eastAsia="Lato" w:hAnsi="Lato" w:cs="Lato"/>
        </w:rPr>
        <w:t>Décret n° 2018-1330 du 28 décembre 2018 relatif aux actions de formation et aux bilans de compétences</w:t>
      </w:r>
    </w:p>
    <w:p w:rsidR="001F7375" w:rsidRDefault="001F7375" w:rsidP="001F7375">
      <w:pPr>
        <w:widowControl w:val="0"/>
        <w:spacing w:after="40"/>
        <w:rPr>
          <w:rFonts w:ascii="Lato" w:eastAsia="Lato" w:hAnsi="Lato" w:cs="Lato"/>
        </w:rPr>
      </w:pPr>
    </w:p>
    <w:p w:rsidR="001F7375" w:rsidRDefault="001F7375" w:rsidP="001F7375">
      <w:pPr>
        <w:widowControl w:val="0"/>
        <w:shd w:val="clear" w:color="auto" w:fill="DFDFDF"/>
        <w:spacing w:after="40"/>
        <w:rPr>
          <w:rFonts w:ascii="Lato" w:eastAsia="Lato" w:hAnsi="Lato" w:cs="Lato"/>
        </w:rPr>
      </w:pPr>
      <w:r>
        <w:rPr>
          <w:rFonts w:ascii="Lato" w:eastAsia="Lato" w:hAnsi="Lato" w:cs="Lato"/>
        </w:rPr>
        <w:t>Le bilan de compétences permet d’analyser ses compétences professionnelles et personnelles, ses aptitudes et ses motivations en appui d’un projet d’évolution professionnelle et, le cas échéant, de formation.</w:t>
      </w:r>
    </w:p>
    <w:p w:rsidR="001F7375" w:rsidRDefault="001F7375" w:rsidP="001F7375">
      <w:pPr>
        <w:widowControl w:val="0"/>
        <w:spacing w:after="40"/>
        <w:rPr>
          <w:rFonts w:ascii="Lato" w:eastAsia="Lato" w:hAnsi="Lato" w:cs="Lato"/>
        </w:rPr>
      </w:pPr>
    </w:p>
    <w:p w:rsidR="001F7375" w:rsidRDefault="001F7375" w:rsidP="001F7375">
      <w:pPr>
        <w:widowControl w:val="0"/>
        <w:spacing w:after="40"/>
        <w:rPr>
          <w:rFonts w:ascii="Lato" w:eastAsia="Lato" w:hAnsi="Lato" w:cs="Lato"/>
        </w:rPr>
      </w:pPr>
    </w:p>
    <w:p w:rsidR="001F7375" w:rsidRDefault="001F7375" w:rsidP="001F7375">
      <w:pPr>
        <w:widowControl w:val="0"/>
        <w:spacing w:after="40"/>
        <w:rPr>
          <w:rFonts w:ascii="Lato" w:eastAsia="Lato" w:hAnsi="Lato" w:cs="Lato"/>
          <w:b/>
        </w:rPr>
      </w:pPr>
      <w:r>
        <w:rPr>
          <w:rFonts w:ascii="Lato" w:eastAsia="Lato" w:hAnsi="Lato" w:cs="Lato"/>
          <w:b/>
        </w:rPr>
        <w:t>Qui peut bénéficier d’un bilan de compétences ?</w:t>
      </w:r>
    </w:p>
    <w:p w:rsidR="001F7375" w:rsidRDefault="001F7375" w:rsidP="001F7375">
      <w:pPr>
        <w:widowControl w:val="0"/>
        <w:spacing w:after="40"/>
        <w:rPr>
          <w:rFonts w:ascii="Lato" w:eastAsia="Lato" w:hAnsi="Lato" w:cs="Lato"/>
        </w:rPr>
      </w:pPr>
    </w:p>
    <w:p w:rsidR="001F7375" w:rsidRDefault="001F7375" w:rsidP="001F7375">
      <w:pPr>
        <w:widowControl w:val="0"/>
        <w:spacing w:after="40"/>
        <w:rPr>
          <w:rFonts w:ascii="Lato" w:eastAsia="Lato" w:hAnsi="Lato" w:cs="Lato"/>
        </w:rPr>
      </w:pPr>
      <w:r>
        <w:rPr>
          <w:rFonts w:ascii="Lato" w:eastAsia="Lato" w:hAnsi="Lato" w:cs="Lato"/>
        </w:rPr>
        <w:t>Toute personne active, notamment :</w:t>
      </w:r>
    </w:p>
    <w:p w:rsidR="001F7375" w:rsidRDefault="001F7375" w:rsidP="001F7375">
      <w:pPr>
        <w:widowControl w:val="0"/>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les</w:t>
      </w:r>
      <w:proofErr w:type="gramEnd"/>
      <w:r>
        <w:rPr>
          <w:rFonts w:ascii="Lato" w:eastAsia="Lato" w:hAnsi="Lato" w:cs="Lato"/>
        </w:rPr>
        <w:t xml:space="preserve"> salariés du secteur privé,</w:t>
      </w:r>
    </w:p>
    <w:p w:rsidR="001F7375" w:rsidRDefault="001F7375" w:rsidP="001F7375">
      <w:pPr>
        <w:widowControl w:val="0"/>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les</w:t>
      </w:r>
      <w:proofErr w:type="gramEnd"/>
      <w:r>
        <w:rPr>
          <w:rFonts w:ascii="Lato" w:eastAsia="Lato" w:hAnsi="Lato" w:cs="Lato"/>
        </w:rPr>
        <w:t xml:space="preserve"> demandeurs d’emploi : la demande doit être faite auprès de Pôle emploi, de l’APEC ou de Cap emploi,</w:t>
      </w:r>
    </w:p>
    <w:p w:rsidR="001F7375" w:rsidRDefault="001F7375" w:rsidP="001F7375">
      <w:pPr>
        <w:widowControl w:val="0"/>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les</w:t>
      </w:r>
      <w:proofErr w:type="gramEnd"/>
      <w:r>
        <w:rPr>
          <w:rFonts w:ascii="Lato" w:eastAsia="Lato" w:hAnsi="Lato" w:cs="Lato"/>
        </w:rPr>
        <w:t xml:space="preserve"> salariés du secteur public (fonctionnaires, agents non titulaires, etc.) : textes spécifiques mais dans des conditions similaires aux salariés.</w:t>
      </w:r>
    </w:p>
    <w:p w:rsidR="001F7375" w:rsidRDefault="001F7375" w:rsidP="001F7375">
      <w:pPr>
        <w:widowControl w:val="0"/>
        <w:spacing w:after="40"/>
        <w:rPr>
          <w:rFonts w:ascii="Lato" w:eastAsia="Lato" w:hAnsi="Lato" w:cs="Lato"/>
        </w:rPr>
      </w:pPr>
    </w:p>
    <w:p w:rsidR="001F7375" w:rsidRDefault="001F7375" w:rsidP="001F7375">
      <w:pPr>
        <w:widowControl w:val="0"/>
        <w:spacing w:after="40"/>
        <w:rPr>
          <w:rFonts w:ascii="Lato" w:eastAsia="Lato" w:hAnsi="Lato" w:cs="Lato"/>
          <w:b/>
        </w:rPr>
      </w:pPr>
      <w:r>
        <w:rPr>
          <w:rFonts w:ascii="Lato" w:eastAsia="Lato" w:hAnsi="Lato" w:cs="Lato"/>
          <w:b/>
        </w:rPr>
        <w:t>Quels sont les objectifs du bilan de compétences ?</w:t>
      </w:r>
    </w:p>
    <w:p w:rsidR="001F7375" w:rsidRDefault="001F7375" w:rsidP="001F7375">
      <w:pPr>
        <w:widowControl w:val="0"/>
        <w:spacing w:after="40"/>
        <w:rPr>
          <w:rFonts w:ascii="Lato" w:eastAsia="Lato" w:hAnsi="Lato" w:cs="Lato"/>
        </w:rPr>
      </w:pPr>
    </w:p>
    <w:p w:rsidR="001F7375" w:rsidRDefault="001F7375" w:rsidP="001F7375">
      <w:pPr>
        <w:widowControl w:val="0"/>
        <w:spacing w:after="40"/>
        <w:rPr>
          <w:rFonts w:ascii="Lato" w:eastAsia="Lato" w:hAnsi="Lato" w:cs="Lato"/>
        </w:rPr>
      </w:pPr>
      <w:r>
        <w:rPr>
          <w:rFonts w:ascii="Lato" w:eastAsia="Lato" w:hAnsi="Lato" w:cs="Lato"/>
        </w:rPr>
        <w:t>Il permet :</w:t>
      </w:r>
    </w:p>
    <w:p w:rsidR="001F7375" w:rsidRDefault="001F7375" w:rsidP="001F7375">
      <w:pPr>
        <w:widowControl w:val="0"/>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d’analyser</w:t>
      </w:r>
      <w:proofErr w:type="gramEnd"/>
      <w:r>
        <w:rPr>
          <w:rFonts w:ascii="Lato" w:eastAsia="Lato" w:hAnsi="Lato" w:cs="Lato"/>
        </w:rPr>
        <w:t xml:space="preserve"> ses compétences personnelles et professionnelles, ses aptitudes et ses motivations ;</w:t>
      </w:r>
    </w:p>
    <w:p w:rsidR="001F7375" w:rsidRDefault="001F7375" w:rsidP="001F7375">
      <w:pPr>
        <w:widowControl w:val="0"/>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de</w:t>
      </w:r>
      <w:proofErr w:type="gramEnd"/>
      <w:r>
        <w:rPr>
          <w:rFonts w:ascii="Lato" w:eastAsia="Lato" w:hAnsi="Lato" w:cs="Lato"/>
        </w:rPr>
        <w:t xml:space="preserve"> définir son projet professionnel et, le cas échéant, un projet de formation ;</w:t>
      </w:r>
    </w:p>
    <w:p w:rsidR="001F7375" w:rsidRDefault="001F7375" w:rsidP="001F7375">
      <w:pPr>
        <w:widowControl w:val="0"/>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d’utiliser</w:t>
      </w:r>
      <w:proofErr w:type="gramEnd"/>
      <w:r>
        <w:rPr>
          <w:rFonts w:ascii="Lato" w:eastAsia="Lato" w:hAnsi="Lato" w:cs="Lato"/>
        </w:rPr>
        <w:t xml:space="preserve"> ses atouts comme un instrument de négociation pour un emploi, une formation ou une évolution de carrière.</w:t>
      </w:r>
    </w:p>
    <w:p w:rsidR="001F7375" w:rsidRPr="00F12E69" w:rsidRDefault="001F7375" w:rsidP="001F7375">
      <w:pPr>
        <w:widowControl w:val="0"/>
        <w:spacing w:after="40"/>
        <w:ind w:left="360"/>
        <w:rPr>
          <w:rFonts w:ascii="Lato" w:eastAsia="Lato" w:hAnsi="Lato" w:cs="Lato"/>
        </w:rPr>
      </w:pPr>
    </w:p>
    <w:p w:rsidR="001F7375" w:rsidRDefault="001F7375" w:rsidP="001F7375">
      <w:pPr>
        <w:widowControl w:val="0"/>
        <w:spacing w:after="40"/>
        <w:rPr>
          <w:rFonts w:ascii="Lato" w:eastAsia="Lato" w:hAnsi="Lato" w:cs="Lato"/>
          <w:b/>
        </w:rPr>
      </w:pPr>
      <w:r>
        <w:rPr>
          <w:rFonts w:ascii="Lato" w:eastAsia="Lato" w:hAnsi="Lato" w:cs="Lato"/>
          <w:b/>
        </w:rPr>
        <w:t>Comment est mis en œuvre le bilan de compétences ?</w:t>
      </w:r>
    </w:p>
    <w:p w:rsidR="001F7375" w:rsidRDefault="001F7375" w:rsidP="001F7375">
      <w:pPr>
        <w:widowControl w:val="0"/>
        <w:spacing w:after="40"/>
        <w:rPr>
          <w:rFonts w:ascii="Lato" w:eastAsia="Lato" w:hAnsi="Lato" w:cs="Lato"/>
        </w:rPr>
      </w:pPr>
    </w:p>
    <w:p w:rsidR="001F7375" w:rsidRDefault="001F7375" w:rsidP="001F7375">
      <w:pPr>
        <w:widowControl w:val="0"/>
        <w:spacing w:after="40"/>
        <w:rPr>
          <w:rFonts w:ascii="Lato" w:eastAsia="Lato" w:hAnsi="Lato" w:cs="Lato"/>
        </w:rPr>
      </w:pPr>
      <w:r>
        <w:rPr>
          <w:rFonts w:ascii="Lato" w:eastAsia="Lato" w:hAnsi="Lato" w:cs="Lato"/>
        </w:rPr>
        <w:t xml:space="preserve">Les bilans de compétences sont éligibles au </w:t>
      </w:r>
      <w:hyperlink r:id="rId7">
        <w:r>
          <w:rPr>
            <w:rFonts w:ascii="Lato" w:eastAsia="Lato" w:hAnsi="Lato" w:cs="Lato"/>
            <w:u w:val="single"/>
          </w:rPr>
          <w:t>compte personnel de formation</w:t>
        </w:r>
      </w:hyperlink>
      <w:r>
        <w:rPr>
          <w:rFonts w:ascii="Lato" w:eastAsia="Lato" w:hAnsi="Lato" w:cs="Lato"/>
        </w:rPr>
        <w:t>.</w:t>
      </w:r>
    </w:p>
    <w:p w:rsidR="001F7375" w:rsidRDefault="001F7375" w:rsidP="001F7375">
      <w:pPr>
        <w:widowControl w:val="0"/>
        <w:spacing w:after="40"/>
        <w:ind w:left="360"/>
        <w:rPr>
          <w:rFonts w:ascii="Lato" w:eastAsia="Lato" w:hAnsi="Lato" w:cs="Lato"/>
        </w:rPr>
      </w:pPr>
      <w:r>
        <w:rPr>
          <w:rFonts w:ascii="Lato" w:eastAsia="Lato" w:hAnsi="Lato" w:cs="Lato"/>
        </w:rPr>
        <w:t xml:space="preserve">·   </w:t>
      </w:r>
      <w:r>
        <w:rPr>
          <w:rFonts w:ascii="Lato" w:eastAsia="Lato" w:hAnsi="Lato" w:cs="Lato"/>
        </w:rPr>
        <w:tab/>
        <w:t>Lorsque le salarié mobilise son compte personnel de formation pour un bilan réalisé hors temps de travail, l’employeur n’a pas à être informé.</w:t>
      </w:r>
    </w:p>
    <w:p w:rsidR="001F7375" w:rsidRDefault="001F7375" w:rsidP="001F7375">
      <w:pPr>
        <w:widowControl w:val="0"/>
        <w:spacing w:after="40"/>
        <w:ind w:left="360"/>
        <w:rPr>
          <w:rFonts w:ascii="Lato" w:eastAsia="Lato" w:hAnsi="Lato" w:cs="Lato"/>
        </w:rPr>
      </w:pPr>
      <w:r>
        <w:rPr>
          <w:rFonts w:ascii="Lato" w:eastAsia="Lato" w:hAnsi="Lato" w:cs="Lato"/>
        </w:rPr>
        <w:t xml:space="preserve">·   </w:t>
      </w:r>
      <w:r>
        <w:rPr>
          <w:rFonts w:ascii="Lato" w:eastAsia="Lato" w:hAnsi="Lato" w:cs="Lato"/>
        </w:rPr>
        <w:tab/>
        <w:t xml:space="preserve">Lorsque le salarié mobilise son </w:t>
      </w:r>
      <w:hyperlink r:id="rId8">
        <w:r>
          <w:rPr>
            <w:rFonts w:ascii="Lato" w:eastAsia="Lato" w:hAnsi="Lato" w:cs="Lato"/>
            <w:u w:val="single"/>
          </w:rPr>
          <w:t>compte personnel de formation</w:t>
        </w:r>
      </w:hyperlink>
      <w:r>
        <w:rPr>
          <w:rFonts w:ascii="Lato" w:eastAsia="Lato" w:hAnsi="Lato" w:cs="Lato"/>
        </w:rPr>
        <w:t xml:space="preserve"> pour un bilan en tout ou partie, pendant le temps de travail, il doit demander l’accord préalable de l’employeur selon les règles propres au compte personnel de formation.</w:t>
      </w:r>
    </w:p>
    <w:p w:rsidR="001F7375" w:rsidRDefault="001F7375" w:rsidP="001F7375">
      <w:pPr>
        <w:widowControl w:val="0"/>
        <w:spacing w:after="40"/>
        <w:rPr>
          <w:rFonts w:ascii="Lato" w:eastAsia="Lato" w:hAnsi="Lato" w:cs="Lato"/>
          <w:b/>
        </w:rPr>
      </w:pPr>
      <w:bookmarkStart w:id="0" w:name="_GoBack"/>
      <w:bookmarkEnd w:id="0"/>
      <w:r>
        <w:rPr>
          <w:rFonts w:ascii="Lato" w:eastAsia="Lato" w:hAnsi="Lato" w:cs="Lato"/>
          <w:b/>
        </w:rPr>
        <w:lastRenderedPageBreak/>
        <w:t xml:space="preserve">Dans le cadre du </w:t>
      </w:r>
      <w:hyperlink r:id="rId9">
        <w:r>
          <w:rPr>
            <w:rFonts w:ascii="Lato" w:eastAsia="Lato" w:hAnsi="Lato" w:cs="Lato"/>
            <w:b/>
            <w:u w:val="single"/>
          </w:rPr>
          <w:t>plan de développement des compétences de l’entreprise</w:t>
        </w:r>
      </w:hyperlink>
      <w:r>
        <w:rPr>
          <w:rFonts w:ascii="Lato" w:eastAsia="Lato" w:hAnsi="Lato" w:cs="Lato"/>
          <w:b/>
        </w:rPr>
        <w:t xml:space="preserve"> (salariés) ou d’un congé de reclassement :</w:t>
      </w:r>
    </w:p>
    <w:p w:rsidR="001F7375" w:rsidRDefault="001F7375" w:rsidP="001F7375">
      <w:pPr>
        <w:widowControl w:val="0"/>
        <w:spacing w:after="40"/>
        <w:rPr>
          <w:rFonts w:ascii="Lato" w:eastAsia="Lato" w:hAnsi="Lato" w:cs="Lato"/>
        </w:rPr>
      </w:pPr>
    </w:p>
    <w:p w:rsidR="001F7375" w:rsidRDefault="001F7375" w:rsidP="001F7375">
      <w:pPr>
        <w:widowControl w:val="0"/>
        <w:spacing w:after="40"/>
        <w:rPr>
          <w:rFonts w:ascii="Lato" w:eastAsia="Lato" w:hAnsi="Lato" w:cs="Lato"/>
        </w:rPr>
      </w:pPr>
      <w:r>
        <w:rPr>
          <w:rFonts w:ascii="Lato" w:eastAsia="Lato" w:hAnsi="Lato" w:cs="Lato"/>
        </w:rPr>
        <w:t>Le bilan de compétences ne peut être réalisé qu’avec le consentement du salarié.</w:t>
      </w:r>
    </w:p>
    <w:p w:rsidR="001F7375" w:rsidRDefault="001F7375" w:rsidP="001F7375">
      <w:pPr>
        <w:widowControl w:val="0"/>
        <w:spacing w:after="40"/>
        <w:rPr>
          <w:rFonts w:ascii="Lato" w:eastAsia="Lato" w:hAnsi="Lato" w:cs="Lato"/>
        </w:rPr>
      </w:pPr>
      <w:r>
        <w:rPr>
          <w:rFonts w:ascii="Lato" w:eastAsia="Lato" w:hAnsi="Lato" w:cs="Lato"/>
        </w:rPr>
        <w:t>Il fait l’objet d’une convention tripartite signée par le salarié, l’employeur et l’organisme prestataire de bilan. La convention précise les objectifs, le contenu, les moyens, la durée et la période de réalisation, et les modalités de réalisation, les modalités de remise des résultats détaillés et du document de synthèse ainsi que le prix et les modalités de règlement du bilan.</w:t>
      </w:r>
    </w:p>
    <w:p w:rsidR="001F7375" w:rsidRDefault="001F7375" w:rsidP="001F7375">
      <w:pPr>
        <w:widowControl w:val="0"/>
        <w:spacing w:after="40"/>
        <w:rPr>
          <w:rFonts w:ascii="Lato" w:eastAsia="Lato" w:hAnsi="Lato" w:cs="Lato"/>
        </w:rPr>
      </w:pPr>
    </w:p>
    <w:p w:rsidR="001F7375" w:rsidRDefault="001F7375" w:rsidP="001F7375">
      <w:pPr>
        <w:widowControl w:val="0"/>
        <w:spacing w:after="40"/>
        <w:rPr>
          <w:rFonts w:ascii="Lato" w:eastAsia="Lato" w:hAnsi="Lato" w:cs="Lato"/>
        </w:rPr>
      </w:pPr>
      <w:r>
        <w:rPr>
          <w:rFonts w:ascii="Lato" w:eastAsia="Lato" w:hAnsi="Lato" w:cs="Lato"/>
        </w:rPr>
        <w:t>Le salarié dispose d’un délai de 10 jours pour faire connaître son acceptation en restituant la convention qu’il aura signée.</w:t>
      </w:r>
    </w:p>
    <w:p w:rsidR="001F7375" w:rsidRDefault="001F7375" w:rsidP="001F7375">
      <w:pPr>
        <w:widowControl w:val="0"/>
        <w:spacing w:after="40"/>
        <w:rPr>
          <w:rFonts w:ascii="Lato" w:eastAsia="Lato" w:hAnsi="Lato" w:cs="Lato"/>
        </w:rPr>
      </w:pPr>
      <w:r>
        <w:rPr>
          <w:rFonts w:ascii="Lato" w:eastAsia="Lato" w:hAnsi="Lato" w:cs="Lato"/>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F7375" w:rsidTr="00D75EF8">
        <w:trPr>
          <w:trHeight w:val="630"/>
        </w:trPr>
        <w:tc>
          <w:tcPr>
            <w:tcW w:w="9025" w:type="dxa"/>
            <w:tcBorders>
              <w:top w:val="nil"/>
              <w:left w:val="nil"/>
              <w:bottom w:val="nil"/>
              <w:right w:val="nil"/>
            </w:tcBorders>
            <w:shd w:val="clear" w:color="auto" w:fill="F1F1F1"/>
            <w:tcMar>
              <w:top w:w="20" w:type="dxa"/>
              <w:left w:w="20" w:type="dxa"/>
              <w:bottom w:w="20" w:type="dxa"/>
              <w:right w:w="20" w:type="dxa"/>
            </w:tcMar>
          </w:tcPr>
          <w:p w:rsidR="001F7375" w:rsidRDefault="001F7375" w:rsidP="00D75EF8">
            <w:pPr>
              <w:widowControl w:val="0"/>
              <w:spacing w:after="40"/>
              <w:rPr>
                <w:rFonts w:ascii="Lato" w:eastAsia="Lato" w:hAnsi="Lato" w:cs="Lato"/>
              </w:rPr>
            </w:pPr>
            <w:r>
              <w:rPr>
                <w:rFonts w:ascii="Lato" w:eastAsia="Lato" w:hAnsi="Lato" w:cs="Lato"/>
              </w:rPr>
              <w:t>L’absence de réponse du salarié au terme de ce délai vaut refus. Ce refus ne constitue ni une faute ni un motif de licenciement.</w:t>
            </w:r>
          </w:p>
        </w:tc>
      </w:tr>
    </w:tbl>
    <w:p w:rsidR="001F7375" w:rsidRDefault="001F7375" w:rsidP="001F7375">
      <w:pPr>
        <w:widowControl w:val="0"/>
        <w:shd w:val="clear" w:color="auto" w:fill="FFFFFF"/>
        <w:spacing w:after="40"/>
        <w:rPr>
          <w:rFonts w:ascii="Lato" w:eastAsia="Lato" w:hAnsi="Lato" w:cs="Lato"/>
        </w:rPr>
      </w:pPr>
    </w:p>
    <w:p w:rsidR="001F7375" w:rsidRDefault="001F7375" w:rsidP="001F7375">
      <w:pPr>
        <w:widowControl w:val="0"/>
        <w:shd w:val="clear" w:color="auto" w:fill="FFFFFF"/>
        <w:spacing w:after="40"/>
        <w:rPr>
          <w:rFonts w:ascii="Lato" w:eastAsia="Lato" w:hAnsi="Lato" w:cs="Lato"/>
        </w:rPr>
      </w:pPr>
      <w:r>
        <w:rPr>
          <w:rFonts w:ascii="Lato" w:eastAsia="Lato" w:hAnsi="Lato" w:cs="Lato"/>
        </w:rPr>
        <w:t>Lorsque le bilan est réalisé sur le temps de travail, il est assimilé à l’exécution normale du contrat de travail. Le coût du bilan est à la charge de l’employeur, sauf dans les cas où le CPF est mobilisé.</w:t>
      </w:r>
    </w:p>
    <w:p w:rsidR="001F7375" w:rsidRDefault="001F7375" w:rsidP="001F7375">
      <w:pPr>
        <w:widowControl w:val="0"/>
        <w:shd w:val="clear" w:color="auto" w:fill="FFFFFF"/>
        <w:spacing w:after="40"/>
        <w:rPr>
          <w:rFonts w:ascii="Lato" w:eastAsia="Lato" w:hAnsi="Lato" w:cs="Lato"/>
        </w:rPr>
      </w:pPr>
    </w:p>
    <w:p w:rsidR="001F7375" w:rsidRDefault="001F7375" w:rsidP="001F7375">
      <w:pPr>
        <w:widowControl w:val="0"/>
        <w:shd w:val="clear" w:color="auto" w:fill="FFFFFF"/>
        <w:spacing w:after="40"/>
        <w:rPr>
          <w:rFonts w:ascii="Lato" w:eastAsia="Lato" w:hAnsi="Lato" w:cs="Lato"/>
        </w:rPr>
      </w:pPr>
      <w:r>
        <w:rPr>
          <w:rFonts w:ascii="Lato" w:eastAsia="Lato" w:hAnsi="Lato" w:cs="Lato"/>
        </w:rPr>
        <w:t xml:space="preserve">Un bilan de compétences peut être préconisé à l’occasion d’un </w:t>
      </w:r>
      <w:hyperlink r:id="rId10">
        <w:r>
          <w:rPr>
            <w:rFonts w:ascii="Lato" w:eastAsia="Lato" w:hAnsi="Lato" w:cs="Lato"/>
          </w:rPr>
          <w:t>conseil en évolution professionnelle (CÉP)</w:t>
        </w:r>
      </w:hyperlink>
      <w:r>
        <w:rPr>
          <w:rFonts w:ascii="Lato" w:eastAsia="Lato" w:hAnsi="Lato" w:cs="Lato"/>
        </w:rPr>
        <w:t>. Les attentes sont définies conjointement par le bénéficiaire et son conseiller CÉP, en lien avec le prestataire externe.</w:t>
      </w:r>
    </w:p>
    <w:p w:rsidR="001F7375" w:rsidRDefault="001F7375" w:rsidP="001F7375">
      <w:pPr>
        <w:widowControl w:val="0"/>
        <w:shd w:val="clear" w:color="auto" w:fill="FFFFFF"/>
        <w:spacing w:after="40"/>
        <w:rPr>
          <w:rFonts w:ascii="Lato" w:eastAsia="Lato" w:hAnsi="Lato" w:cs="Lato"/>
        </w:rPr>
      </w:pPr>
    </w:p>
    <w:p w:rsidR="001F7375" w:rsidRDefault="001F7375" w:rsidP="001F7375">
      <w:pPr>
        <w:widowControl w:val="0"/>
        <w:shd w:val="clear" w:color="auto" w:fill="FFFFFF"/>
        <w:spacing w:after="40"/>
        <w:rPr>
          <w:rFonts w:ascii="Lato" w:eastAsia="Lato" w:hAnsi="Lato" w:cs="Lato"/>
        </w:rPr>
      </w:pPr>
      <w:r>
        <w:rPr>
          <w:rFonts w:ascii="Lato" w:eastAsia="Lato" w:hAnsi="Lato" w:cs="Lato"/>
        </w:rPr>
        <w:t>Le document de synthèse peut être communiqué à la demande du bénéficiaire, à son conseiller CÉP, dans la mesure où :</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le</w:t>
      </w:r>
      <w:proofErr w:type="gramEnd"/>
      <w:r>
        <w:rPr>
          <w:rFonts w:ascii="Lato" w:eastAsia="Lato" w:hAnsi="Lato" w:cs="Lato"/>
        </w:rPr>
        <w:t xml:space="preserve"> CÉP est délivré dans un espace neutre, hors de l’entreprise ;</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le</w:t>
      </w:r>
      <w:proofErr w:type="gramEnd"/>
      <w:r>
        <w:rPr>
          <w:rFonts w:ascii="Lato" w:eastAsia="Lato" w:hAnsi="Lato" w:cs="Lato"/>
        </w:rPr>
        <w:t xml:space="preserve"> conseiller CÉP est soumis à l’obligation de discrétion professionnelle (les informations personnelles qui lui sont confiées dans l’exercice de ses fonctions ne peuvent être divulguées) ;</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le</w:t>
      </w:r>
      <w:proofErr w:type="gramEnd"/>
      <w:r>
        <w:rPr>
          <w:rFonts w:ascii="Lato" w:eastAsia="Lato" w:hAnsi="Lato" w:cs="Lato"/>
        </w:rPr>
        <w:t xml:space="preserve"> bilan de compétences est étroitement lié au travail réalisé par le bénéficiaire et son conseiller CÉP sur son projet d’évolution professionnelle.</w:t>
      </w:r>
    </w:p>
    <w:p w:rsidR="001F7375" w:rsidRDefault="001F7375" w:rsidP="001F7375">
      <w:pPr>
        <w:widowControl w:val="0"/>
        <w:shd w:val="clear" w:color="auto" w:fill="FFFFFF"/>
        <w:spacing w:after="40"/>
        <w:rPr>
          <w:rFonts w:ascii="Lato" w:eastAsia="Lato" w:hAnsi="Lato" w:cs="Lato"/>
        </w:rPr>
      </w:pPr>
    </w:p>
    <w:p w:rsidR="001F7375" w:rsidRDefault="001F7375" w:rsidP="001F7375">
      <w:pPr>
        <w:widowControl w:val="0"/>
        <w:shd w:val="clear" w:color="auto" w:fill="FFFFFF"/>
        <w:spacing w:after="40"/>
        <w:rPr>
          <w:rFonts w:ascii="Lato" w:eastAsia="Lato" w:hAnsi="Lato" w:cs="Lato"/>
          <w:b/>
        </w:rPr>
      </w:pPr>
      <w:r>
        <w:rPr>
          <w:rFonts w:ascii="Lato" w:eastAsia="Lato" w:hAnsi="Lato" w:cs="Lato"/>
          <w:b/>
        </w:rPr>
        <w:t>Comment se déroule un bilan de compétences ?</w:t>
      </w:r>
    </w:p>
    <w:p w:rsidR="001F7375" w:rsidRDefault="001F7375" w:rsidP="001F7375">
      <w:pPr>
        <w:widowControl w:val="0"/>
        <w:shd w:val="clear" w:color="auto" w:fill="FFFFFF"/>
        <w:spacing w:after="40"/>
        <w:rPr>
          <w:rFonts w:ascii="Lato" w:eastAsia="Lato" w:hAnsi="Lato" w:cs="Lato"/>
        </w:rPr>
      </w:pPr>
    </w:p>
    <w:p w:rsidR="001F7375" w:rsidRDefault="001F7375" w:rsidP="001F7375">
      <w:pPr>
        <w:widowControl w:val="0"/>
        <w:shd w:val="clear" w:color="auto" w:fill="FFFFFF"/>
        <w:spacing w:after="40"/>
        <w:rPr>
          <w:rFonts w:ascii="Lato" w:eastAsia="Lato" w:hAnsi="Lato" w:cs="Lato"/>
        </w:rPr>
      </w:pPr>
      <w:r>
        <w:rPr>
          <w:rFonts w:ascii="Lato" w:eastAsia="Lato" w:hAnsi="Lato" w:cs="Lato"/>
        </w:rPr>
        <w:t>La durée du bilan de compétences varie selon le besoin de la personne. Elle est au maximum de 24 heures. Elle se répartit généralement sur plusieurs semaines.</w:t>
      </w:r>
    </w:p>
    <w:p w:rsidR="001F7375" w:rsidRDefault="001F7375" w:rsidP="001F7375">
      <w:pPr>
        <w:widowControl w:val="0"/>
        <w:shd w:val="clear" w:color="auto" w:fill="FFFFFF"/>
        <w:spacing w:after="40"/>
        <w:rPr>
          <w:rFonts w:ascii="Lato" w:eastAsia="Lato" w:hAnsi="Lato" w:cs="Lato"/>
        </w:rPr>
      </w:pPr>
    </w:p>
    <w:p w:rsidR="001F7375" w:rsidRDefault="001F7375" w:rsidP="001F7375">
      <w:pPr>
        <w:widowControl w:val="0"/>
        <w:shd w:val="clear" w:color="auto" w:fill="FFFFFF"/>
        <w:spacing w:after="40"/>
        <w:rPr>
          <w:rFonts w:ascii="Lato" w:eastAsia="Lato" w:hAnsi="Lato" w:cs="Lato"/>
        </w:rPr>
      </w:pPr>
      <w:r>
        <w:rPr>
          <w:rFonts w:ascii="Lato" w:eastAsia="Lato" w:hAnsi="Lato" w:cs="Lato"/>
        </w:rPr>
        <w:t>Le bilan comprend obligatoirement trois phases sous la conduite du prestataire. Le temps consacré à chaque phase est variable selon les actions conduites pour répondre au besoin de la personne.</w:t>
      </w:r>
    </w:p>
    <w:p w:rsidR="001F7375" w:rsidRDefault="001F7375" w:rsidP="001F7375">
      <w:pPr>
        <w:widowControl w:val="0"/>
        <w:shd w:val="clear" w:color="auto" w:fill="FFFFFF"/>
        <w:spacing w:after="40"/>
        <w:rPr>
          <w:rFonts w:ascii="Lato" w:eastAsia="Lato" w:hAnsi="Lato" w:cs="Lato"/>
          <w:b/>
        </w:rPr>
      </w:pPr>
    </w:p>
    <w:p w:rsidR="001F7375" w:rsidRDefault="001F7375" w:rsidP="001F7375">
      <w:pPr>
        <w:widowControl w:val="0"/>
        <w:shd w:val="clear" w:color="auto" w:fill="FFFFFF"/>
        <w:spacing w:after="40"/>
        <w:rPr>
          <w:rFonts w:ascii="Lato" w:eastAsia="Lato" w:hAnsi="Lato" w:cs="Lato"/>
        </w:rPr>
      </w:pPr>
      <w:r>
        <w:rPr>
          <w:rFonts w:ascii="Lato" w:eastAsia="Lato" w:hAnsi="Lato" w:cs="Lato"/>
          <w:b/>
        </w:rPr>
        <w:lastRenderedPageBreak/>
        <w:t>Une phase préliminaire a pour objet de</w:t>
      </w:r>
      <w:r>
        <w:rPr>
          <w:rFonts w:ascii="Lato" w:eastAsia="Lato" w:hAnsi="Lato" w:cs="Lato"/>
        </w:rPr>
        <w:t xml:space="preserve"> :</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d’analyser</w:t>
      </w:r>
      <w:proofErr w:type="gramEnd"/>
      <w:r>
        <w:rPr>
          <w:rFonts w:ascii="Lato" w:eastAsia="Lato" w:hAnsi="Lato" w:cs="Lato"/>
        </w:rPr>
        <w:t xml:space="preserve"> la demande et le besoin du bénéficiaire,</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de</w:t>
      </w:r>
      <w:proofErr w:type="gramEnd"/>
      <w:r>
        <w:rPr>
          <w:rFonts w:ascii="Lato" w:eastAsia="Lato" w:hAnsi="Lato" w:cs="Lato"/>
        </w:rPr>
        <w:t xml:space="preserve"> déterminer le format le plus adapté à la situation et au besoin,</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de</w:t>
      </w:r>
      <w:proofErr w:type="gramEnd"/>
      <w:r>
        <w:rPr>
          <w:rFonts w:ascii="Lato" w:eastAsia="Lato" w:hAnsi="Lato" w:cs="Lato"/>
        </w:rPr>
        <w:t xml:space="preserve"> définir conjointement les modalités de déroulement du bilan.</w:t>
      </w:r>
    </w:p>
    <w:p w:rsidR="001F7375" w:rsidRDefault="001F7375" w:rsidP="001F7375">
      <w:pPr>
        <w:widowControl w:val="0"/>
        <w:shd w:val="clear" w:color="auto" w:fill="FFFFFF"/>
        <w:spacing w:after="40"/>
        <w:rPr>
          <w:rFonts w:ascii="Lato" w:eastAsia="Lato" w:hAnsi="Lato" w:cs="Lato"/>
          <w:b/>
        </w:rPr>
      </w:pPr>
    </w:p>
    <w:p w:rsidR="001F7375" w:rsidRDefault="001F7375" w:rsidP="001F7375">
      <w:pPr>
        <w:widowControl w:val="0"/>
        <w:shd w:val="clear" w:color="auto" w:fill="FFFFFF"/>
        <w:spacing w:after="40"/>
        <w:rPr>
          <w:rFonts w:ascii="Lato" w:eastAsia="Lato" w:hAnsi="Lato" w:cs="Lato"/>
        </w:rPr>
      </w:pPr>
      <w:r>
        <w:rPr>
          <w:rFonts w:ascii="Lato" w:eastAsia="Lato" w:hAnsi="Lato" w:cs="Lato"/>
          <w:b/>
        </w:rPr>
        <w:t>Une phase d’investigation permet au bénéficiaire</w:t>
      </w:r>
      <w:r>
        <w:rPr>
          <w:rFonts w:ascii="Lato" w:eastAsia="Lato" w:hAnsi="Lato" w:cs="Lato"/>
        </w:rPr>
        <w:t xml:space="preserve"> :</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soit</w:t>
      </w:r>
      <w:proofErr w:type="gramEnd"/>
      <w:r>
        <w:rPr>
          <w:rFonts w:ascii="Lato" w:eastAsia="Lato" w:hAnsi="Lato" w:cs="Lato"/>
        </w:rPr>
        <w:t xml:space="preserve"> de construire son projet professionnel et d’en vérifier la pertinence,</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soit</w:t>
      </w:r>
      <w:proofErr w:type="gramEnd"/>
      <w:r>
        <w:rPr>
          <w:rFonts w:ascii="Lato" w:eastAsia="Lato" w:hAnsi="Lato" w:cs="Lato"/>
        </w:rPr>
        <w:t xml:space="preserve"> d’élaborer une ou plusieurs alternatives.</w:t>
      </w:r>
    </w:p>
    <w:p w:rsidR="001F7375" w:rsidRDefault="001F7375" w:rsidP="001F7375">
      <w:pPr>
        <w:widowControl w:val="0"/>
        <w:shd w:val="clear" w:color="auto" w:fill="FFFFFF"/>
        <w:spacing w:after="40"/>
        <w:rPr>
          <w:rFonts w:ascii="Lato" w:eastAsia="Lato" w:hAnsi="Lato" w:cs="Lato"/>
          <w:b/>
        </w:rPr>
      </w:pPr>
    </w:p>
    <w:p w:rsidR="001F7375" w:rsidRDefault="001F7375" w:rsidP="001F7375">
      <w:pPr>
        <w:widowControl w:val="0"/>
        <w:shd w:val="clear" w:color="auto" w:fill="FFFFFF"/>
        <w:spacing w:after="40"/>
        <w:rPr>
          <w:rFonts w:ascii="Lato" w:eastAsia="Lato" w:hAnsi="Lato" w:cs="Lato"/>
        </w:rPr>
      </w:pPr>
      <w:r>
        <w:rPr>
          <w:rFonts w:ascii="Lato" w:eastAsia="Lato" w:hAnsi="Lato" w:cs="Lato"/>
          <w:b/>
        </w:rPr>
        <w:t>Une phase de conclusion, par la voie d’entretiens personnalisés, permet au bénéficiaire de</w:t>
      </w:r>
      <w:r>
        <w:rPr>
          <w:rFonts w:ascii="Lato" w:eastAsia="Lato" w:hAnsi="Lato" w:cs="Lato"/>
        </w:rPr>
        <w:t xml:space="preserve"> :</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r>
      <w:proofErr w:type="gramStart"/>
      <w:r>
        <w:rPr>
          <w:rFonts w:ascii="Lato" w:eastAsia="Lato" w:hAnsi="Lato" w:cs="Lato"/>
        </w:rPr>
        <w:t>s’approprier</w:t>
      </w:r>
      <w:proofErr w:type="gramEnd"/>
      <w:r>
        <w:rPr>
          <w:rFonts w:ascii="Lato" w:eastAsia="Lato" w:hAnsi="Lato" w:cs="Lato"/>
        </w:rPr>
        <w:t xml:space="preserve"> les résultats détaillés de la phase d’investigation,</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t>recenser les conditions et moyens favorisant la réalisation du ou des projets professionnels,</w:t>
      </w:r>
    </w:p>
    <w:p w:rsidR="001F7375" w:rsidRDefault="001F7375" w:rsidP="001F7375">
      <w:pPr>
        <w:widowControl w:val="0"/>
        <w:shd w:val="clear" w:color="auto" w:fill="FFFFFF"/>
        <w:spacing w:after="40"/>
        <w:ind w:left="360"/>
        <w:rPr>
          <w:rFonts w:ascii="Lato" w:eastAsia="Lato" w:hAnsi="Lato" w:cs="Lato"/>
        </w:rPr>
      </w:pPr>
      <w:r>
        <w:rPr>
          <w:rFonts w:ascii="Lato" w:eastAsia="Lato" w:hAnsi="Lato" w:cs="Lato"/>
        </w:rPr>
        <w:t xml:space="preserve">·   </w:t>
      </w:r>
      <w:r>
        <w:rPr>
          <w:rFonts w:ascii="Lato" w:eastAsia="Lato" w:hAnsi="Lato" w:cs="Lato"/>
        </w:rPr>
        <w:tab/>
        <w:t>prévoir les principales modalités et étapes du ou des projets professionnels, dont la possibilité de bénéficier d’un entretien de suivi avec le prestataire de bilan.</w:t>
      </w:r>
    </w:p>
    <w:p w:rsidR="001F7375" w:rsidRDefault="001F7375" w:rsidP="001F7375">
      <w:pPr>
        <w:widowControl w:val="0"/>
        <w:shd w:val="clear" w:color="auto" w:fill="FFFFFF"/>
        <w:spacing w:after="40"/>
        <w:rPr>
          <w:rFonts w:ascii="Lato" w:eastAsia="Lato" w:hAnsi="Lato" w:cs="Lato"/>
        </w:rPr>
      </w:pPr>
    </w:p>
    <w:p w:rsidR="001F7375" w:rsidRDefault="001F7375" w:rsidP="001F7375">
      <w:pPr>
        <w:widowControl w:val="0"/>
        <w:shd w:val="clear" w:color="auto" w:fill="FFFFFF"/>
        <w:spacing w:after="40"/>
        <w:rPr>
          <w:rFonts w:ascii="Lato" w:eastAsia="Lato" w:hAnsi="Lato" w:cs="Lato"/>
        </w:rPr>
      </w:pPr>
      <w:r>
        <w:rPr>
          <w:rFonts w:ascii="Lato" w:eastAsia="Lato" w:hAnsi="Lato" w:cs="Lato"/>
        </w:rPr>
        <w:t>Cette phase se termine par la présentation au bénéficiaire des résultats détaillés et d’un document de synthèse. Les résultats du bilan sont la seule propriété du bénéficiaire. Ils ne peuvent être communiqués à un tiers qu’avec son accord.</w:t>
      </w:r>
    </w:p>
    <w:p w:rsidR="001F7375" w:rsidRDefault="001F7375" w:rsidP="001F7375">
      <w:pPr>
        <w:widowControl w:val="0"/>
        <w:shd w:val="clear" w:color="auto" w:fill="FFFFFF"/>
        <w:spacing w:after="40"/>
        <w:rPr>
          <w:rFonts w:ascii="Lato" w:eastAsia="Lato" w:hAnsi="Lato" w:cs="Lato"/>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F7375" w:rsidTr="00D75EF8">
        <w:trPr>
          <w:trHeight w:val="2520"/>
        </w:trPr>
        <w:tc>
          <w:tcPr>
            <w:tcW w:w="9025" w:type="dxa"/>
            <w:tcBorders>
              <w:top w:val="nil"/>
              <w:left w:val="nil"/>
              <w:bottom w:val="nil"/>
              <w:right w:val="nil"/>
            </w:tcBorders>
            <w:shd w:val="clear" w:color="auto" w:fill="F1F1F1"/>
            <w:tcMar>
              <w:top w:w="20" w:type="dxa"/>
              <w:left w:w="20" w:type="dxa"/>
              <w:bottom w:w="20" w:type="dxa"/>
              <w:right w:w="20" w:type="dxa"/>
            </w:tcMar>
          </w:tcPr>
          <w:p w:rsidR="001F7375" w:rsidRDefault="001F7375" w:rsidP="00D75EF8">
            <w:pPr>
              <w:widowControl w:val="0"/>
              <w:spacing w:after="40"/>
              <w:rPr>
                <w:rFonts w:ascii="Lato" w:eastAsia="Lato" w:hAnsi="Lato" w:cs="Lato"/>
                <w:b/>
              </w:rPr>
            </w:pPr>
            <w:r>
              <w:rPr>
                <w:rFonts w:ascii="Lato" w:eastAsia="Lato" w:hAnsi="Lato" w:cs="Lato"/>
                <w:b/>
              </w:rPr>
              <w:t>A NOTER</w:t>
            </w:r>
          </w:p>
          <w:p w:rsidR="001F7375" w:rsidRDefault="001F7375" w:rsidP="00D75EF8">
            <w:pPr>
              <w:widowControl w:val="0"/>
              <w:spacing w:after="40"/>
              <w:rPr>
                <w:rFonts w:ascii="Lato" w:eastAsia="Lato" w:hAnsi="Lato" w:cs="Lato"/>
              </w:rPr>
            </w:pPr>
            <w:r>
              <w:rPr>
                <w:rFonts w:ascii="Lato" w:eastAsia="Lato" w:hAnsi="Lato" w:cs="Lato"/>
              </w:rPr>
              <w:t>Le ministère du Travail a mis en place un modèle de Certificat de réalisation des actions de formation, bilans de compétences, actions VAE et actions de formation par apprentissage, applicable à compter du 1</w:t>
            </w:r>
            <w:r>
              <w:rPr>
                <w:rFonts w:ascii="Lato" w:eastAsia="Lato" w:hAnsi="Lato" w:cs="Lato"/>
                <w:vertAlign w:val="superscript"/>
              </w:rPr>
              <w:t>er</w:t>
            </w:r>
            <w:r>
              <w:rPr>
                <w:rFonts w:ascii="Lato" w:eastAsia="Lato" w:hAnsi="Lato" w:cs="Lato"/>
              </w:rPr>
              <w:t xml:space="preserve"> juin 2020 par les associations « Transitions Pro » (</w:t>
            </w:r>
            <w:proofErr w:type="spellStart"/>
            <w:r>
              <w:rPr>
                <w:rFonts w:ascii="Lato" w:eastAsia="Lato" w:hAnsi="Lato" w:cs="Lato"/>
              </w:rPr>
              <w:t>ATpro</w:t>
            </w:r>
            <w:proofErr w:type="spellEnd"/>
            <w:r>
              <w:rPr>
                <w:rFonts w:ascii="Lato" w:eastAsia="Lato" w:hAnsi="Lato" w:cs="Lato"/>
              </w:rPr>
              <w:t>). Ce certificat permet d’harmoniser les pratiques entre les opérateurs de compétences (OPCO), avec les entreprises, organismes de formation et centres de formation d’apprentis (CFA).</w:t>
            </w:r>
          </w:p>
          <w:p w:rsidR="001F7375" w:rsidRDefault="001F7375" w:rsidP="00D75EF8">
            <w:pPr>
              <w:widowControl w:val="0"/>
              <w:spacing w:after="40"/>
              <w:rPr>
                <w:rFonts w:ascii="Lato" w:eastAsia="Lato" w:hAnsi="Lato" w:cs="Lato"/>
              </w:rPr>
            </w:pPr>
            <w:r>
              <w:rPr>
                <w:rFonts w:ascii="Lato" w:eastAsia="Lato" w:hAnsi="Lato" w:cs="Lato"/>
                <w:b/>
              </w:rPr>
              <w:t>PDF Certificat de réalisation</w:t>
            </w:r>
            <w:r>
              <w:rPr>
                <w:rFonts w:ascii="Lato" w:eastAsia="Lato" w:hAnsi="Lato" w:cs="Lato"/>
              </w:rPr>
              <w:t xml:space="preserve"> </w:t>
            </w:r>
            <w:hyperlink r:id="rId11">
              <w:r>
                <w:rPr>
                  <w:rFonts w:ascii="Lato" w:eastAsia="Lato" w:hAnsi="Lato" w:cs="Lato"/>
                </w:rPr>
                <w:t>Téléchargement</w:t>
              </w:r>
            </w:hyperlink>
            <w:hyperlink r:id="rId12">
              <w:r>
                <w:rPr>
                  <w:rFonts w:ascii="Lato" w:eastAsia="Lato" w:hAnsi="Lato" w:cs="Lato"/>
                  <w:u w:val="single"/>
                </w:rPr>
                <w:t xml:space="preserve"> </w:t>
              </w:r>
            </w:hyperlink>
            <w:hyperlink r:id="rId13">
              <w:r>
                <w:rPr>
                  <w:rFonts w:ascii="Lato" w:eastAsia="Lato" w:hAnsi="Lato" w:cs="Lato"/>
                </w:rPr>
                <w:t>(587.1 ko)</w:t>
              </w:r>
            </w:hyperlink>
          </w:p>
        </w:tc>
      </w:tr>
    </w:tbl>
    <w:p w:rsidR="001F7375" w:rsidRDefault="001F7375" w:rsidP="001F7375">
      <w:pPr>
        <w:pStyle w:val="Titre3"/>
        <w:keepNext w:val="0"/>
        <w:widowControl w:val="0"/>
        <w:shd w:val="clear" w:color="auto" w:fill="FFFFFF"/>
        <w:spacing w:before="0" w:after="40"/>
        <w:rPr>
          <w:rFonts w:ascii="Lato" w:eastAsia="Lato" w:hAnsi="Lato" w:cs="Lato"/>
          <w:color w:val="000000"/>
          <w:sz w:val="22"/>
          <w:szCs w:val="22"/>
        </w:rPr>
      </w:pPr>
      <w:bookmarkStart w:id="1" w:name="_or8qe98iobl1" w:colFirst="0" w:colLast="0"/>
      <w:bookmarkEnd w:id="1"/>
    </w:p>
    <w:p w:rsidR="001F7375" w:rsidRDefault="001F7375" w:rsidP="001F7375">
      <w:pPr>
        <w:pStyle w:val="Titre3"/>
        <w:keepNext w:val="0"/>
        <w:widowControl w:val="0"/>
        <w:shd w:val="clear" w:color="auto" w:fill="FFFFFF"/>
        <w:spacing w:before="0" w:after="40"/>
        <w:rPr>
          <w:rFonts w:ascii="Lato" w:eastAsia="Lato" w:hAnsi="Lato" w:cs="Lato"/>
          <w:b w:val="0"/>
          <w:color w:val="000000"/>
          <w:sz w:val="22"/>
          <w:szCs w:val="22"/>
        </w:rPr>
      </w:pPr>
      <w:bookmarkStart w:id="2" w:name="_yqn91roiwrdf" w:colFirst="0" w:colLast="0"/>
      <w:bookmarkEnd w:id="2"/>
      <w:r>
        <w:rPr>
          <w:rFonts w:ascii="Lato" w:eastAsia="Lato" w:hAnsi="Lato" w:cs="Lato"/>
          <w:color w:val="000000"/>
          <w:sz w:val="22"/>
          <w:szCs w:val="22"/>
        </w:rPr>
        <w:t>Où faire un bilan de compétences ?</w:t>
      </w:r>
    </w:p>
    <w:p w:rsidR="001F7375" w:rsidRDefault="001F7375" w:rsidP="001F7375">
      <w:pPr>
        <w:widowControl w:val="0"/>
        <w:shd w:val="clear" w:color="auto" w:fill="FFFFFF"/>
        <w:spacing w:after="40"/>
        <w:rPr>
          <w:rFonts w:ascii="Lato" w:eastAsia="Lato" w:hAnsi="Lato" w:cs="Lato"/>
        </w:rPr>
      </w:pPr>
    </w:p>
    <w:p w:rsidR="001F7375" w:rsidRDefault="001F7375" w:rsidP="001F7375">
      <w:pPr>
        <w:widowControl w:val="0"/>
        <w:shd w:val="clear" w:color="auto" w:fill="FFFFFF"/>
        <w:spacing w:after="40"/>
        <w:rPr>
          <w:rFonts w:ascii="Lato" w:eastAsia="Lato" w:hAnsi="Lato" w:cs="Lato"/>
        </w:rPr>
      </w:pPr>
      <w:r>
        <w:rPr>
          <w:rFonts w:ascii="Lato" w:eastAsia="Lato" w:hAnsi="Lato" w:cs="Lato"/>
        </w:rPr>
        <w:t>Le bilan de compétences est obligatoirement réalisé par un prestataire extérieur à l’entreprise, qui ne peut organiser en interne le bilan pour ses salariés.</w:t>
      </w:r>
    </w:p>
    <w:p w:rsidR="001F7375" w:rsidRDefault="001F7375" w:rsidP="001F7375">
      <w:pPr>
        <w:widowControl w:val="0"/>
        <w:shd w:val="clear" w:color="auto" w:fill="FFFFFF"/>
        <w:spacing w:after="40"/>
        <w:rPr>
          <w:rFonts w:ascii="Lato" w:eastAsia="Lato" w:hAnsi="Lato" w:cs="Lato"/>
        </w:rPr>
      </w:pPr>
    </w:p>
    <w:p w:rsidR="001F7375" w:rsidRDefault="001F7375" w:rsidP="001F7375">
      <w:pPr>
        <w:widowControl w:val="0"/>
        <w:shd w:val="clear" w:color="auto" w:fill="FFFFFF"/>
        <w:spacing w:after="40"/>
        <w:rPr>
          <w:rFonts w:ascii="Lato" w:eastAsia="Lato" w:hAnsi="Lato" w:cs="Lato"/>
        </w:rPr>
      </w:pPr>
      <w:r>
        <w:rPr>
          <w:rFonts w:ascii="Lato" w:eastAsia="Lato" w:hAnsi="Lato" w:cs="Lato"/>
        </w:rPr>
        <w:t>Les prestataires financés sur fonds publics ou fonds mutualisés sont certifiés sur la base de critères définis par décret en conseil d’État.</w:t>
      </w:r>
    </w:p>
    <w:p w:rsidR="001F7375" w:rsidRDefault="001F7375" w:rsidP="001F7375">
      <w:pPr>
        <w:widowControl w:val="0"/>
        <w:spacing w:after="40"/>
        <w:rPr>
          <w:rFonts w:ascii="Lato" w:eastAsia="Lato" w:hAnsi="Lato" w:cs="Lato"/>
        </w:rPr>
      </w:pPr>
    </w:p>
    <w:p w:rsidR="001F7375" w:rsidRDefault="001F7375" w:rsidP="001F7375">
      <w:pPr>
        <w:widowControl w:val="0"/>
        <w:spacing w:after="40"/>
        <w:rPr>
          <w:rFonts w:ascii="Lato" w:eastAsia="Lato" w:hAnsi="Lato" w:cs="Lato"/>
        </w:rPr>
      </w:pPr>
    </w:p>
    <w:p w:rsidR="001D1C91" w:rsidRPr="001F7375" w:rsidRDefault="001D1C91" w:rsidP="00102347">
      <w:pPr>
        <w:rPr>
          <w:rFonts w:asciiTheme="majorHAnsi" w:eastAsia="Arial" w:hAnsiTheme="majorHAnsi" w:cstheme="majorHAnsi"/>
          <w:sz w:val="22"/>
          <w:szCs w:val="22"/>
        </w:rPr>
      </w:pPr>
    </w:p>
    <w:sectPr w:rsidR="001D1C91" w:rsidRPr="001F7375" w:rsidSect="001F7375">
      <w:headerReference w:type="default" r:id="rId14"/>
      <w:footerReference w:type="default" r:id="rId15"/>
      <w:headerReference w:type="first" r:id="rId16"/>
      <w:footerReference w:type="first" r:id="rId17"/>
      <w:type w:val="continuous"/>
      <w:pgSz w:w="11906" w:h="16838"/>
      <w:pgMar w:top="1843" w:right="1417" w:bottom="1134" w:left="1417" w:header="708"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73E" w:rsidRDefault="0007773E">
      <w:r>
        <w:separator/>
      </w:r>
    </w:p>
  </w:endnote>
  <w:endnote w:type="continuationSeparator" w:id="0">
    <w:p w:rsidR="0007773E" w:rsidRDefault="0007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00000001"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1F7375">
      <w:rPr>
        <w:i/>
        <w:noProof/>
        <w:sz w:val="14"/>
        <w:szCs w:val="14"/>
      </w:rPr>
      <w:t>3</w:t>
    </w:r>
    <w:r>
      <w:rPr>
        <w:i/>
        <w:sz w:val="14"/>
        <w:szCs w:val="14"/>
      </w:rPr>
      <w:fldChar w:fldCharType="end"/>
    </w:r>
  </w:p>
  <w:p w:rsidR="001D1C91" w:rsidRDefault="001D1C91">
    <w:pPr>
      <w:pBdr>
        <w:top w:val="nil"/>
        <w:left w:val="nil"/>
        <w:bottom w:val="nil"/>
        <w:right w:val="nil"/>
        <w:between w:val="nil"/>
      </w:pBdr>
      <w:tabs>
        <w:tab w:val="center" w:pos="4536"/>
        <w:tab w:val="right" w:pos="9072"/>
      </w:tabs>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602F75" w:rsidRPr="00CD2BC5" w:rsidRDefault="00602F75" w:rsidP="00602F75">
    <w:pPr>
      <w:pStyle w:val="Pieddepage"/>
      <w:ind w:right="360"/>
      <w:jc w:val="center"/>
      <w:rPr>
        <w:rFonts w:ascii="Helvetica" w:hAnsi="Helvetica"/>
        <w:color w:val="808080"/>
        <w:sz w:val="16"/>
        <w:szCs w:val="16"/>
      </w:rPr>
    </w:pPr>
    <w:r w:rsidRPr="00CD2BC5">
      <w:rPr>
        <w:rFonts w:ascii="Helvetica" w:hAnsi="Helvetica"/>
        <w:noProof/>
        <w:color w:val="808080"/>
        <w:sz w:val="16"/>
        <w:szCs w:val="16"/>
      </w:rPr>
      <w:t>Société KHEPRI</w:t>
    </w:r>
    <w:r w:rsidRPr="00CD2BC5">
      <w:rPr>
        <w:rFonts w:ascii="Helvetica" w:hAnsi="Helvetica"/>
        <w:color w:val="808080"/>
        <w:sz w:val="16"/>
        <w:szCs w:val="16"/>
      </w:rPr>
      <w:t xml:space="preserve"> </w:t>
    </w:r>
    <w:r>
      <w:rPr>
        <w:rFonts w:ascii="Helvetica" w:hAnsi="Helvetica"/>
        <w:color w:val="808080"/>
        <w:sz w:val="16"/>
        <w:szCs w:val="16"/>
      </w:rPr>
      <w:t xml:space="preserve">FORMATION </w:t>
    </w:r>
    <w:r w:rsidRPr="00CD2BC5">
      <w:rPr>
        <w:rFonts w:ascii="Helvetica" w:hAnsi="Helvetica"/>
        <w:color w:val="808080"/>
        <w:sz w:val="16"/>
        <w:szCs w:val="16"/>
      </w:rPr>
      <w:t>SAS au capital de 10 000 €</w:t>
    </w:r>
  </w:p>
  <w:p w:rsidR="001D1C91" w:rsidRPr="00602F75" w:rsidRDefault="00602F75" w:rsidP="00602F75">
    <w:pPr>
      <w:autoSpaceDE w:val="0"/>
      <w:autoSpaceDN w:val="0"/>
      <w:adjustRightInd w:val="0"/>
      <w:jc w:val="center"/>
      <w:rPr>
        <w:rFonts w:ascii="HelveticaNeue-Roman" w:hAnsi="HelveticaNeue-Roman" w:cs="HelveticaNeue-Roman"/>
        <w:color w:val="808080"/>
        <w:sz w:val="16"/>
        <w:szCs w:val="16"/>
        <w:lang w:bidi="th-TH"/>
      </w:rPr>
    </w:pPr>
    <w:r w:rsidRPr="00CD2BC5">
      <w:rPr>
        <w:rFonts w:ascii="HelveticaNeue-Roman" w:hAnsi="HelveticaNeue-Roman" w:cs="HelveticaNeue-Roman"/>
        <w:color w:val="808080"/>
        <w:sz w:val="16"/>
        <w:szCs w:val="16"/>
      </w:rPr>
      <w:t>188 GR rue Charles de Gaulle -  94130 NOGENT SUR MARNE - Tél. :+33 (0)09 73 67 35 45</w:t>
    </w:r>
    <w:r>
      <w:rPr>
        <w:rFonts w:ascii="HelveticaNeue-Roman" w:hAnsi="HelveticaNeue-Roman" w:cs="HelveticaNeue-Roman"/>
        <w:color w:val="808080"/>
        <w:sz w:val="16"/>
        <w:szCs w:val="16"/>
      </w:rPr>
      <w:br/>
    </w:r>
    <w:r w:rsidRPr="00CD2BC5">
      <w:rPr>
        <w:rFonts w:ascii="Helvetica" w:hAnsi="Helvetica"/>
        <w:color w:val="808080"/>
        <w:sz w:val="16"/>
        <w:szCs w:val="16"/>
      </w:rPr>
      <w:t xml:space="preserve">RCS Créteil 811 445 410 00012  – APE 8690F – N° TVA </w:t>
    </w:r>
    <w:r w:rsidRPr="00CD2BC5">
      <w:rPr>
        <w:rFonts w:ascii="Helvetica" w:hAnsi="Helvetica"/>
        <w:color w:val="7F7F7F"/>
        <w:sz w:val="16"/>
        <w:szCs w:val="16"/>
      </w:rPr>
      <w:t>FR 89811445410 – N° Formateur 11940951494</w:t>
    </w:r>
    <w:r>
      <w:rPr>
        <w:i/>
        <w:sz w:val="14"/>
        <w:szCs w:val="14"/>
      </w:rPr>
      <w:br/>
    </w:r>
    <w:r w:rsidR="00CB419D">
      <w:rPr>
        <w:i/>
        <w:sz w:val="14"/>
        <w:szCs w:val="14"/>
      </w:rPr>
      <w:t xml:space="preserve">Page </w:t>
    </w:r>
    <w:r w:rsidR="00CB419D">
      <w:rPr>
        <w:i/>
        <w:sz w:val="14"/>
        <w:szCs w:val="14"/>
      </w:rPr>
      <w:fldChar w:fldCharType="begin"/>
    </w:r>
    <w:r w:rsidR="00CB419D">
      <w:rPr>
        <w:i/>
        <w:sz w:val="14"/>
        <w:szCs w:val="14"/>
      </w:rPr>
      <w:instrText>PAGE</w:instrText>
    </w:r>
    <w:r w:rsidR="00CB419D">
      <w:rPr>
        <w:i/>
        <w:sz w:val="14"/>
        <w:szCs w:val="14"/>
      </w:rPr>
      <w:fldChar w:fldCharType="separate"/>
    </w:r>
    <w:r w:rsidR="001F7375">
      <w:rPr>
        <w:i/>
        <w:noProof/>
        <w:sz w:val="14"/>
        <w:szCs w:val="14"/>
      </w:rPr>
      <w:t>1</w:t>
    </w:r>
    <w:r w:rsidR="00CB419D">
      <w:rPr>
        <w:i/>
        <w:sz w:val="14"/>
        <w:szCs w:val="14"/>
      </w:rPr>
      <w:fldChar w:fldCharType="end"/>
    </w:r>
  </w:p>
  <w:p w:rsidR="001D1C91" w:rsidRDefault="00CB419D">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 xml:space="preserve">Version </w:t>
    </w:r>
    <w:r w:rsidR="00602F75">
      <w:rPr>
        <w:rFonts w:ascii="Arial" w:eastAsia="Arial" w:hAnsi="Arial" w:cs="Arial"/>
        <w:color w:val="4C4C4C"/>
        <w:sz w:val="16"/>
        <w:szCs w:val="16"/>
      </w:rPr>
      <w:t>08/2021</w:t>
    </w:r>
  </w:p>
  <w:p w:rsidR="001F7375" w:rsidRDefault="001F7375">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F7375" w:rsidRDefault="001F7375">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F7375" w:rsidRPr="00602F75" w:rsidRDefault="001F7375">
    <w:pPr>
      <w:pBdr>
        <w:top w:val="nil"/>
        <w:left w:val="nil"/>
        <w:bottom w:val="nil"/>
        <w:right w:val="nil"/>
        <w:between w:val="nil"/>
      </w:pBdr>
      <w:tabs>
        <w:tab w:val="center" w:pos="4536"/>
        <w:tab w:val="right" w:pos="9072"/>
      </w:tabs>
      <w:rPr>
        <w:rFonts w:ascii="Arial" w:eastAsia="Arial" w:hAnsi="Arial" w:cs="Arial"/>
        <w:color w:val="4C4C4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73E" w:rsidRDefault="0007773E">
      <w:r>
        <w:separator/>
      </w:r>
    </w:p>
  </w:footnote>
  <w:footnote w:type="continuationSeparator" w:id="0">
    <w:p w:rsidR="0007773E" w:rsidRDefault="00077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F7375" w:rsidP="000065B4">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0" distB="0" distL="114300" distR="114300" simplePos="0" relativeHeight="251666432" behindDoc="0" locked="0" layoutInCell="1" allowOverlap="1" wp14:anchorId="65878806" wp14:editId="1B7A2C71">
          <wp:simplePos x="0" y="0"/>
          <wp:positionH relativeFrom="margin">
            <wp:posOffset>-161925</wp:posOffset>
          </wp:positionH>
          <wp:positionV relativeFrom="paragraph">
            <wp:posOffset>-95885</wp:posOffset>
          </wp:positionV>
          <wp:extent cx="2438400" cy="49530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C91" w:rsidRDefault="001D1C91" w:rsidP="000065B4">
    <w:pPr>
      <w:pBdr>
        <w:top w:val="nil"/>
        <w:left w:val="nil"/>
        <w:bottom w:val="nil"/>
        <w:right w:val="nil"/>
        <w:between w:val="nil"/>
      </w:pBdr>
      <w:tabs>
        <w:tab w:val="center" w:pos="4536"/>
        <w:tab w:val="right" w:pos="9072"/>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602F75">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64384" behindDoc="0" locked="0" layoutInCell="1" allowOverlap="1" wp14:anchorId="28651811" wp14:editId="4958FD32">
          <wp:simplePos x="0" y="0"/>
          <wp:positionH relativeFrom="margin">
            <wp:posOffset>0</wp:posOffset>
          </wp:positionH>
          <wp:positionV relativeFrom="paragraph">
            <wp:posOffset>-153035</wp:posOffset>
          </wp:positionV>
          <wp:extent cx="2438400" cy="49530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6ABF"/>
    <w:multiLevelType w:val="multilevel"/>
    <w:tmpl w:val="DDEAD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A366F2"/>
    <w:multiLevelType w:val="multilevel"/>
    <w:tmpl w:val="1CC8A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2204DF"/>
    <w:multiLevelType w:val="multilevel"/>
    <w:tmpl w:val="41B2B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91"/>
    <w:rsid w:val="000065B4"/>
    <w:rsid w:val="0007773E"/>
    <w:rsid w:val="000D4AA5"/>
    <w:rsid w:val="00102347"/>
    <w:rsid w:val="001D1C91"/>
    <w:rsid w:val="001F7375"/>
    <w:rsid w:val="00442775"/>
    <w:rsid w:val="004975A7"/>
    <w:rsid w:val="004E1739"/>
    <w:rsid w:val="004E6DBA"/>
    <w:rsid w:val="00602F75"/>
    <w:rsid w:val="007606D9"/>
    <w:rsid w:val="008178DB"/>
    <w:rsid w:val="00826598"/>
    <w:rsid w:val="00C104E1"/>
    <w:rsid w:val="00CB419D"/>
    <w:rsid w:val="00F51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AD549-280A-401A-B239-9BB68A0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b/>
      <w:sz w:val="32"/>
      <w:szCs w:val="32"/>
    </w:rPr>
  </w:style>
  <w:style w:type="paragraph" w:styleId="Titre2">
    <w:name w:val="heading 2"/>
    <w:basedOn w:val="Normal"/>
    <w:next w:val="Normal"/>
    <w:pPr>
      <w:keepNext/>
      <w:spacing w:before="240" w:after="60"/>
      <w:outlineLvl w:val="1"/>
    </w:pPr>
    <w:rPr>
      <w:b/>
      <w:i/>
      <w:sz w:val="28"/>
      <w:szCs w:val="28"/>
    </w:rPr>
  </w:style>
  <w:style w:type="paragraph" w:styleId="Titre3">
    <w:name w:val="heading 3"/>
    <w:basedOn w:val="Normal"/>
    <w:next w:val="Normal"/>
    <w:pPr>
      <w:keepNext/>
      <w:spacing w:before="240" w:after="60"/>
      <w:outlineLvl w:val="2"/>
    </w:pPr>
    <w:rPr>
      <w:b/>
      <w:sz w:val="26"/>
      <w:szCs w:val="26"/>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b/>
      <w:sz w:val="32"/>
      <w:szCs w:val="32"/>
    </w:rPr>
  </w:style>
  <w:style w:type="paragraph" w:styleId="Sous-titre">
    <w:name w:val="Subtitle"/>
    <w:basedOn w:val="Normal"/>
    <w:next w:val="Normal"/>
    <w:pPr>
      <w:spacing w:after="60"/>
      <w:jc w:val="center"/>
    </w:pPr>
  </w:style>
  <w:style w:type="paragraph" w:styleId="En-tte">
    <w:name w:val="header"/>
    <w:basedOn w:val="Normal"/>
    <w:link w:val="En-tteCar"/>
    <w:uiPriority w:val="99"/>
    <w:unhideWhenUsed/>
    <w:rsid w:val="000065B4"/>
    <w:pPr>
      <w:tabs>
        <w:tab w:val="center" w:pos="4536"/>
        <w:tab w:val="right" w:pos="9072"/>
      </w:tabs>
    </w:pPr>
  </w:style>
  <w:style w:type="character" w:customStyle="1" w:styleId="En-tteCar">
    <w:name w:val="En-tête Car"/>
    <w:basedOn w:val="Policepardfaut"/>
    <w:link w:val="En-tte"/>
    <w:uiPriority w:val="99"/>
    <w:rsid w:val="000065B4"/>
  </w:style>
  <w:style w:type="paragraph" w:styleId="Pieddepage">
    <w:name w:val="footer"/>
    <w:basedOn w:val="Normal"/>
    <w:link w:val="PieddepageCar"/>
    <w:unhideWhenUsed/>
    <w:rsid w:val="000065B4"/>
    <w:pPr>
      <w:tabs>
        <w:tab w:val="center" w:pos="4536"/>
        <w:tab w:val="right" w:pos="9072"/>
      </w:tabs>
    </w:pPr>
  </w:style>
  <w:style w:type="character" w:customStyle="1" w:styleId="PieddepageCar">
    <w:name w:val="Pied de page Car"/>
    <w:basedOn w:val="Policepardfaut"/>
    <w:link w:val="Pieddepage"/>
    <w:uiPriority w:val="99"/>
    <w:rsid w:val="000065B4"/>
  </w:style>
  <w:style w:type="character" w:styleId="Lienhypertexte">
    <w:name w:val="Hyperlink"/>
    <w:basedOn w:val="Policepardfaut"/>
    <w:uiPriority w:val="99"/>
    <w:unhideWhenUsed/>
    <w:rsid w:val="004E1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ravail-emploi.gouv.fr/formation-professionnelle/droit-a-la-formation-et-orientation-professionnelle/compte-personnel-formation" TargetMode="External"/><Relationship Id="rId13" Type="http://schemas.openxmlformats.org/officeDocument/2006/relationships/hyperlink" Target="https://travail-emploi.gouv.fr/IMG/pdf/certificat_de_realisatio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vail-emploi.gouv.fr/formation-professionnelle/droit-a-la-formation-et-orientation-professionnelle/compte-personnel-formation" TargetMode="External"/><Relationship Id="rId12" Type="http://schemas.openxmlformats.org/officeDocument/2006/relationships/hyperlink" Target="https://travail-emploi.gouv.fr/IMG/pdf/certificat_de_realisation.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ail-emploi.gouv.fr/IMG/pdf/certificat_de_realisatio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ravail-emploi.gouv.fr/formation-professionnelle/droit-a-la-formation-et-orientation-professionnelle/CE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vail-emploi.gouv.fr/formation-professionnelle/entreprise-et-formation/article/plan-de-developpement-des-competen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1068</Words>
  <Characters>5879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Compte Microsoft</cp:lastModifiedBy>
  <cp:revision>3</cp:revision>
  <dcterms:created xsi:type="dcterms:W3CDTF">2022-03-19T02:19:00Z</dcterms:created>
  <dcterms:modified xsi:type="dcterms:W3CDTF">2022-03-19T02:28:00Z</dcterms:modified>
</cp:coreProperties>
</file>